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A93" w:rsidRPr="003F40EF" w:rsidRDefault="00370A93" w:rsidP="00B24F84">
      <w:pPr>
        <w:jc w:val="center"/>
        <w:rPr>
          <w:rFonts w:ascii="Arial" w:hAnsi="Arial" w:cs="Arial"/>
          <w:b/>
          <w:sz w:val="23"/>
          <w:szCs w:val="23"/>
          <w:lang w:val="fr-FR"/>
        </w:rPr>
      </w:pPr>
      <w:r w:rsidRPr="003F40EF">
        <w:rPr>
          <w:rFonts w:cs="Arial"/>
          <w:noProof/>
          <w:lang w:val="fr-FR"/>
        </w:rPr>
        <w:drawing>
          <wp:inline distT="0" distB="0" distL="0" distR="0" wp14:anchorId="25EEB04D" wp14:editId="544B14C6">
            <wp:extent cx="1362075" cy="12756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8453" cy="1290987"/>
                    </a:xfrm>
                    <a:prstGeom prst="rect">
                      <a:avLst/>
                    </a:prstGeom>
                    <a:noFill/>
                    <a:ln>
                      <a:noFill/>
                    </a:ln>
                  </pic:spPr>
                </pic:pic>
              </a:graphicData>
            </a:graphic>
          </wp:inline>
        </w:drawing>
      </w:r>
      <w:r w:rsidR="001F2D89" w:rsidRPr="003F40EF">
        <w:rPr>
          <w:rFonts w:ascii="Arial" w:hAnsi="Arial" w:cs="Arial"/>
          <w:b/>
          <w:sz w:val="23"/>
          <w:szCs w:val="23"/>
          <w:lang w:val="fr-FR"/>
        </w:rPr>
        <w:t xml:space="preserve"> </w:t>
      </w:r>
    </w:p>
    <w:p w:rsidR="00DE3D91" w:rsidRPr="003F40EF" w:rsidRDefault="003F40EF" w:rsidP="00B24F84">
      <w:pPr>
        <w:jc w:val="center"/>
        <w:rPr>
          <w:rFonts w:ascii="Arial" w:hAnsi="Arial" w:cs="Arial"/>
          <w:b/>
          <w:sz w:val="23"/>
          <w:szCs w:val="23"/>
          <w:lang w:val="fr-FR"/>
        </w:rPr>
      </w:pPr>
      <w:r>
        <w:rPr>
          <w:rFonts w:ascii="Arial" w:hAnsi="Arial" w:cs="Arial"/>
          <w:b/>
          <w:sz w:val="23"/>
          <w:szCs w:val="23"/>
          <w:lang w:val="fr-FR"/>
        </w:rPr>
        <w:t>NEGOC</w:t>
      </w:r>
      <w:r w:rsidR="00DE3D91" w:rsidRPr="003F40EF">
        <w:rPr>
          <w:rFonts w:ascii="Arial" w:hAnsi="Arial" w:cs="Arial"/>
          <w:b/>
          <w:sz w:val="23"/>
          <w:szCs w:val="23"/>
          <w:lang w:val="fr-FR"/>
        </w:rPr>
        <w:t>IATION</w:t>
      </w:r>
      <w:r w:rsidR="00355A80" w:rsidRPr="003F40EF">
        <w:rPr>
          <w:rFonts w:ascii="Arial" w:hAnsi="Arial" w:cs="Arial"/>
          <w:b/>
          <w:sz w:val="23"/>
          <w:szCs w:val="23"/>
          <w:lang w:val="fr-FR"/>
        </w:rPr>
        <w:t>S DU COMMERCE DES SERV</w:t>
      </w:r>
      <w:r>
        <w:rPr>
          <w:rFonts w:ascii="Arial" w:hAnsi="Arial" w:cs="Arial"/>
          <w:b/>
          <w:sz w:val="23"/>
          <w:szCs w:val="23"/>
          <w:lang w:val="fr-FR"/>
        </w:rPr>
        <w:t>I</w:t>
      </w:r>
      <w:r w:rsidR="00355A80" w:rsidRPr="003F40EF">
        <w:rPr>
          <w:rFonts w:ascii="Arial" w:hAnsi="Arial" w:cs="Arial"/>
          <w:b/>
          <w:sz w:val="23"/>
          <w:szCs w:val="23"/>
          <w:lang w:val="fr-FR"/>
        </w:rPr>
        <w:t>CES DE LA SADC</w:t>
      </w:r>
    </w:p>
    <w:p w:rsidR="00B24F84" w:rsidRPr="003F40EF" w:rsidRDefault="00355A80" w:rsidP="00534AC9">
      <w:pPr>
        <w:spacing w:after="0"/>
        <w:jc w:val="center"/>
        <w:rPr>
          <w:rFonts w:ascii="Arial" w:hAnsi="Arial" w:cs="Arial"/>
          <w:b/>
          <w:sz w:val="23"/>
          <w:szCs w:val="23"/>
          <w:lang w:val="fr-FR"/>
        </w:rPr>
      </w:pPr>
      <w:r w:rsidRPr="003F40EF">
        <w:rPr>
          <w:rFonts w:ascii="Arial" w:hAnsi="Arial" w:cs="Arial"/>
          <w:b/>
          <w:sz w:val="23"/>
          <w:szCs w:val="23"/>
          <w:lang w:val="fr-FR"/>
        </w:rPr>
        <w:t>Projet d’a</w:t>
      </w:r>
      <w:r w:rsidR="00B24F84" w:rsidRPr="003F40EF">
        <w:rPr>
          <w:rFonts w:ascii="Arial" w:hAnsi="Arial" w:cs="Arial"/>
          <w:b/>
          <w:sz w:val="23"/>
          <w:szCs w:val="23"/>
          <w:lang w:val="fr-FR"/>
        </w:rPr>
        <w:t>nnex</w:t>
      </w:r>
      <w:r w:rsidRPr="003F40EF">
        <w:rPr>
          <w:rFonts w:ascii="Arial" w:hAnsi="Arial" w:cs="Arial"/>
          <w:b/>
          <w:sz w:val="23"/>
          <w:szCs w:val="23"/>
          <w:lang w:val="fr-FR"/>
        </w:rPr>
        <w:t>e</w:t>
      </w:r>
      <w:r w:rsidR="00B24F84" w:rsidRPr="003F40EF">
        <w:rPr>
          <w:rFonts w:ascii="Arial" w:hAnsi="Arial" w:cs="Arial"/>
          <w:b/>
          <w:sz w:val="23"/>
          <w:szCs w:val="23"/>
          <w:lang w:val="fr-FR"/>
        </w:rPr>
        <w:t xml:space="preserve"> - Services</w:t>
      </w:r>
      <w:r w:rsidRPr="003F40EF">
        <w:rPr>
          <w:rFonts w:ascii="Arial" w:hAnsi="Arial" w:cs="Arial"/>
          <w:b/>
          <w:sz w:val="23"/>
          <w:szCs w:val="23"/>
          <w:lang w:val="fr-FR"/>
        </w:rPr>
        <w:t xml:space="preserve"> postaux et de courrier</w:t>
      </w:r>
    </w:p>
    <w:p w:rsidR="00DE3D91" w:rsidRPr="003F40EF" w:rsidRDefault="00355A80" w:rsidP="00DE3D91">
      <w:pPr>
        <w:spacing w:before="240" w:after="200"/>
        <w:jc w:val="center"/>
        <w:rPr>
          <w:rFonts w:ascii="Arial" w:hAnsi="Arial" w:cs="Arial"/>
          <w:b/>
          <w:sz w:val="23"/>
          <w:szCs w:val="23"/>
          <w:lang w:val="fr-FR"/>
        </w:rPr>
      </w:pPr>
      <w:r w:rsidRPr="003F40EF">
        <w:rPr>
          <w:rFonts w:ascii="Arial" w:hAnsi="Arial" w:cs="Arial"/>
          <w:b/>
          <w:sz w:val="23"/>
          <w:szCs w:val="23"/>
          <w:lang w:val="fr-FR"/>
        </w:rPr>
        <w:t xml:space="preserve">Document </w:t>
      </w:r>
      <w:r w:rsidR="007F511A" w:rsidRPr="003F40EF">
        <w:rPr>
          <w:rFonts w:ascii="Arial" w:hAnsi="Arial" w:cs="Arial"/>
          <w:b/>
          <w:sz w:val="23"/>
          <w:szCs w:val="23"/>
          <w:lang w:val="fr-FR"/>
        </w:rPr>
        <w:t>de référence</w:t>
      </w:r>
    </w:p>
    <w:p w:rsidR="001A41D0" w:rsidRPr="003F40EF" w:rsidRDefault="001A41D0" w:rsidP="001A41D0">
      <w:pPr>
        <w:spacing w:after="240"/>
        <w:jc w:val="center"/>
        <w:rPr>
          <w:rFonts w:ascii="Arial" w:hAnsi="Arial" w:cs="Arial"/>
          <w:b/>
          <w:sz w:val="23"/>
          <w:szCs w:val="23"/>
          <w:lang w:val="fr-FR"/>
        </w:rPr>
      </w:pPr>
      <w:r w:rsidRPr="003F40EF">
        <w:rPr>
          <w:rFonts w:ascii="Arial" w:hAnsi="Arial" w:cs="Arial"/>
          <w:b/>
          <w:sz w:val="23"/>
          <w:szCs w:val="23"/>
          <w:lang w:val="fr-FR"/>
        </w:rPr>
        <w:t>_______________________________________________</w:t>
      </w:r>
    </w:p>
    <w:p w:rsidR="00B24F84" w:rsidRPr="003F40EF" w:rsidRDefault="00355A80" w:rsidP="001A41D0">
      <w:pPr>
        <w:pStyle w:val="ListParagraph"/>
        <w:numPr>
          <w:ilvl w:val="0"/>
          <w:numId w:val="2"/>
        </w:numPr>
        <w:spacing w:before="480"/>
        <w:ind w:hanging="720"/>
        <w:contextualSpacing w:val="0"/>
        <w:rPr>
          <w:rFonts w:ascii="Arial" w:hAnsi="Arial" w:cs="Arial"/>
          <w:b/>
          <w:sz w:val="23"/>
          <w:szCs w:val="23"/>
          <w:lang w:val="fr-FR"/>
        </w:rPr>
      </w:pPr>
      <w:r w:rsidRPr="003F40EF">
        <w:rPr>
          <w:rFonts w:ascii="Arial" w:hAnsi="Arial" w:cs="Arial"/>
          <w:b/>
          <w:sz w:val="23"/>
          <w:szCs w:val="23"/>
          <w:lang w:val="fr-FR"/>
        </w:rPr>
        <w:t>Contexte</w:t>
      </w:r>
      <w:r w:rsidR="00230F06" w:rsidRPr="003F40EF">
        <w:rPr>
          <w:rFonts w:ascii="Arial" w:hAnsi="Arial" w:cs="Arial"/>
          <w:b/>
          <w:sz w:val="23"/>
          <w:szCs w:val="23"/>
          <w:lang w:val="fr-FR"/>
        </w:rPr>
        <w:t xml:space="preserve"> </w:t>
      </w:r>
      <w:r w:rsidR="00B24F84" w:rsidRPr="003F40EF">
        <w:rPr>
          <w:rFonts w:ascii="Arial" w:hAnsi="Arial" w:cs="Arial"/>
          <w:b/>
          <w:sz w:val="23"/>
          <w:szCs w:val="23"/>
          <w:lang w:val="fr-FR"/>
        </w:rPr>
        <w:t xml:space="preserve"> </w:t>
      </w:r>
    </w:p>
    <w:p w:rsidR="00574FEB" w:rsidRPr="003F40EF" w:rsidRDefault="00574FEB" w:rsidP="00574FEB">
      <w:pPr>
        <w:spacing w:line="276" w:lineRule="auto"/>
        <w:jc w:val="both"/>
        <w:rPr>
          <w:rFonts w:ascii="Arial" w:hAnsi="Arial" w:cs="Arial"/>
          <w:sz w:val="23"/>
          <w:szCs w:val="23"/>
          <w:lang w:val="fr-FR"/>
        </w:rPr>
      </w:pPr>
      <w:r w:rsidRPr="003F40EF">
        <w:rPr>
          <w:rFonts w:ascii="Arial" w:hAnsi="Arial" w:cs="Arial"/>
          <w:sz w:val="23"/>
          <w:szCs w:val="23"/>
          <w:lang w:val="fr-FR"/>
        </w:rPr>
        <w:t>Les États membres de la SADC ont négocié des engagements spécifiques, c'est-à-dire des engagements en matière d'accès aux marchés et de traitement national, lors du premier cycle de négociations lancé en 20</w:t>
      </w:r>
      <w:r w:rsidR="007F511A" w:rsidRPr="003F40EF">
        <w:rPr>
          <w:rFonts w:ascii="Arial" w:hAnsi="Arial" w:cs="Arial"/>
          <w:sz w:val="23"/>
          <w:szCs w:val="23"/>
          <w:lang w:val="fr-FR"/>
        </w:rPr>
        <w:t>12 et devant s'achever en 2018.</w:t>
      </w:r>
      <w:r w:rsidRPr="003F40EF">
        <w:rPr>
          <w:rFonts w:ascii="Arial" w:hAnsi="Arial" w:cs="Arial"/>
          <w:sz w:val="23"/>
          <w:szCs w:val="23"/>
          <w:lang w:val="fr-FR"/>
        </w:rPr>
        <w:t xml:space="preserve"> Les négociations sur les listes d'engagements dans le cadre de ce cycle couvrent six se</w:t>
      </w:r>
      <w:r w:rsidR="007F511A" w:rsidRPr="003F40EF">
        <w:rPr>
          <w:rFonts w:ascii="Arial" w:hAnsi="Arial" w:cs="Arial"/>
          <w:sz w:val="23"/>
          <w:szCs w:val="23"/>
          <w:lang w:val="fr-FR"/>
        </w:rPr>
        <w:t xml:space="preserve">cteurs prioritaires, à savoir les services de communication, de construction, </w:t>
      </w:r>
      <w:r w:rsidRPr="003F40EF">
        <w:rPr>
          <w:rFonts w:ascii="Arial" w:hAnsi="Arial" w:cs="Arial"/>
          <w:sz w:val="23"/>
          <w:szCs w:val="23"/>
          <w:lang w:val="fr-FR"/>
        </w:rPr>
        <w:t>financ</w:t>
      </w:r>
      <w:r w:rsidR="007F511A" w:rsidRPr="003F40EF">
        <w:rPr>
          <w:rFonts w:ascii="Arial" w:hAnsi="Arial" w:cs="Arial"/>
          <w:sz w:val="23"/>
          <w:szCs w:val="23"/>
          <w:lang w:val="fr-FR"/>
        </w:rPr>
        <w:t>i</w:t>
      </w:r>
      <w:r w:rsidRPr="003F40EF">
        <w:rPr>
          <w:rFonts w:ascii="Arial" w:hAnsi="Arial" w:cs="Arial"/>
          <w:sz w:val="23"/>
          <w:szCs w:val="23"/>
          <w:lang w:val="fr-FR"/>
        </w:rPr>
        <w:t>e</w:t>
      </w:r>
      <w:r w:rsidR="007F511A" w:rsidRPr="003F40EF">
        <w:rPr>
          <w:rFonts w:ascii="Arial" w:hAnsi="Arial" w:cs="Arial"/>
          <w:sz w:val="23"/>
          <w:szCs w:val="23"/>
          <w:lang w:val="fr-FR"/>
        </w:rPr>
        <w:t>r</w:t>
      </w:r>
      <w:r w:rsidRPr="003F40EF">
        <w:rPr>
          <w:rFonts w:ascii="Arial" w:hAnsi="Arial" w:cs="Arial"/>
          <w:sz w:val="23"/>
          <w:szCs w:val="23"/>
          <w:lang w:val="fr-FR"/>
        </w:rPr>
        <w:t>s,</w:t>
      </w:r>
      <w:r w:rsidR="007F511A" w:rsidRPr="003F40EF">
        <w:rPr>
          <w:rFonts w:ascii="Arial" w:hAnsi="Arial" w:cs="Arial"/>
          <w:sz w:val="23"/>
          <w:szCs w:val="23"/>
          <w:lang w:val="fr-FR"/>
        </w:rPr>
        <w:t xml:space="preserve"> </w:t>
      </w:r>
      <w:r w:rsidR="003F40EF" w:rsidRPr="003F40EF">
        <w:rPr>
          <w:rFonts w:ascii="Arial" w:hAnsi="Arial" w:cs="Arial"/>
          <w:sz w:val="23"/>
          <w:szCs w:val="23"/>
          <w:lang w:val="fr-FR"/>
        </w:rPr>
        <w:t>d’énergie</w:t>
      </w:r>
      <w:r w:rsidR="007F511A" w:rsidRPr="003F40EF">
        <w:rPr>
          <w:rFonts w:ascii="Arial" w:hAnsi="Arial" w:cs="Arial"/>
          <w:sz w:val="23"/>
          <w:szCs w:val="23"/>
          <w:lang w:val="fr-FR"/>
        </w:rPr>
        <w:t xml:space="preserve">, de tourisme et </w:t>
      </w:r>
      <w:r w:rsidRPr="003F40EF">
        <w:rPr>
          <w:rFonts w:ascii="Arial" w:hAnsi="Arial" w:cs="Arial"/>
          <w:sz w:val="23"/>
          <w:szCs w:val="23"/>
          <w:lang w:val="fr-FR"/>
        </w:rPr>
        <w:t xml:space="preserve">de transport, sur la base de la classification des services de l'Organisation mondiale du commerce (OMC) qui figure dans le document MTN/GNS/W/120. Les services postaux et de </w:t>
      </w:r>
      <w:r w:rsidR="007F511A" w:rsidRPr="003F40EF">
        <w:rPr>
          <w:rFonts w:ascii="Arial" w:hAnsi="Arial" w:cs="Arial"/>
          <w:sz w:val="23"/>
          <w:szCs w:val="23"/>
          <w:lang w:val="fr-FR"/>
        </w:rPr>
        <w:t>courrier</w:t>
      </w:r>
      <w:r w:rsidRPr="003F40EF">
        <w:rPr>
          <w:rFonts w:ascii="Arial" w:hAnsi="Arial" w:cs="Arial"/>
          <w:sz w:val="23"/>
          <w:szCs w:val="23"/>
          <w:lang w:val="fr-FR"/>
        </w:rPr>
        <w:t xml:space="preserve"> sont un sous-secteur des services de communication. Actuellement, les listes d'engagements des États membres couvrant la section horizontale et quatre secteurs (</w:t>
      </w:r>
      <w:r w:rsidR="007F511A" w:rsidRPr="003F40EF">
        <w:rPr>
          <w:rFonts w:ascii="Arial" w:hAnsi="Arial" w:cs="Arial"/>
          <w:sz w:val="23"/>
          <w:szCs w:val="23"/>
          <w:lang w:val="fr-FR"/>
        </w:rPr>
        <w:t xml:space="preserve">les services de </w:t>
      </w:r>
      <w:r w:rsidRPr="003F40EF">
        <w:rPr>
          <w:rFonts w:ascii="Arial" w:hAnsi="Arial" w:cs="Arial"/>
          <w:sz w:val="23"/>
          <w:szCs w:val="23"/>
          <w:lang w:val="fr-FR"/>
        </w:rPr>
        <w:t>communication, financ</w:t>
      </w:r>
      <w:r w:rsidR="007F511A" w:rsidRPr="003F40EF">
        <w:rPr>
          <w:rFonts w:ascii="Arial" w:hAnsi="Arial" w:cs="Arial"/>
          <w:sz w:val="23"/>
          <w:szCs w:val="23"/>
          <w:lang w:val="fr-FR"/>
        </w:rPr>
        <w:t>i</w:t>
      </w:r>
      <w:r w:rsidRPr="003F40EF">
        <w:rPr>
          <w:rFonts w:ascii="Arial" w:hAnsi="Arial" w:cs="Arial"/>
          <w:sz w:val="23"/>
          <w:szCs w:val="23"/>
          <w:lang w:val="fr-FR"/>
        </w:rPr>
        <w:t>e</w:t>
      </w:r>
      <w:r w:rsidR="007F511A" w:rsidRPr="003F40EF">
        <w:rPr>
          <w:rFonts w:ascii="Arial" w:hAnsi="Arial" w:cs="Arial"/>
          <w:sz w:val="23"/>
          <w:szCs w:val="23"/>
          <w:lang w:val="fr-FR"/>
        </w:rPr>
        <w:t>r</w:t>
      </w:r>
      <w:r w:rsidRPr="003F40EF">
        <w:rPr>
          <w:rFonts w:ascii="Arial" w:hAnsi="Arial" w:cs="Arial"/>
          <w:sz w:val="23"/>
          <w:szCs w:val="23"/>
          <w:lang w:val="fr-FR"/>
        </w:rPr>
        <w:t xml:space="preserve">s, </w:t>
      </w:r>
      <w:r w:rsidR="007F511A" w:rsidRPr="003F40EF">
        <w:rPr>
          <w:rFonts w:ascii="Arial" w:hAnsi="Arial" w:cs="Arial"/>
          <w:sz w:val="23"/>
          <w:szCs w:val="23"/>
          <w:lang w:val="fr-FR"/>
        </w:rPr>
        <w:t xml:space="preserve">de </w:t>
      </w:r>
      <w:r w:rsidRPr="003F40EF">
        <w:rPr>
          <w:rFonts w:ascii="Arial" w:hAnsi="Arial" w:cs="Arial"/>
          <w:sz w:val="23"/>
          <w:szCs w:val="23"/>
          <w:lang w:val="fr-FR"/>
        </w:rPr>
        <w:t>tourisme et de transport) f</w:t>
      </w:r>
      <w:r w:rsidR="007F511A" w:rsidRPr="003F40EF">
        <w:rPr>
          <w:rFonts w:ascii="Arial" w:hAnsi="Arial" w:cs="Arial"/>
          <w:sz w:val="23"/>
          <w:szCs w:val="23"/>
          <w:lang w:val="fr-FR"/>
        </w:rPr>
        <w:t>ont l'objet d'un nettoyage juridique.</w:t>
      </w:r>
      <w:r w:rsidRPr="003F40EF">
        <w:rPr>
          <w:rFonts w:ascii="Arial" w:hAnsi="Arial" w:cs="Arial"/>
          <w:sz w:val="23"/>
          <w:szCs w:val="23"/>
          <w:lang w:val="fr-FR"/>
        </w:rPr>
        <w:t xml:space="preserve"> Des négociations techniques sont en cours sur les offres dans le</w:t>
      </w:r>
      <w:r w:rsidR="007F511A" w:rsidRPr="003F40EF">
        <w:rPr>
          <w:rFonts w:ascii="Arial" w:hAnsi="Arial" w:cs="Arial"/>
          <w:sz w:val="23"/>
          <w:szCs w:val="23"/>
          <w:lang w:val="fr-FR"/>
        </w:rPr>
        <w:t>s domaines des services de</w:t>
      </w:r>
      <w:r w:rsidRPr="003F40EF">
        <w:rPr>
          <w:rFonts w:ascii="Arial" w:hAnsi="Arial" w:cs="Arial"/>
          <w:sz w:val="23"/>
          <w:szCs w:val="23"/>
          <w:lang w:val="fr-FR"/>
        </w:rPr>
        <w:t xml:space="preserve"> construction et des services liés à l'énergie.</w:t>
      </w:r>
    </w:p>
    <w:p w:rsidR="00574FEB" w:rsidRPr="003F40EF" w:rsidRDefault="00574FEB" w:rsidP="00574FEB">
      <w:pPr>
        <w:spacing w:line="276" w:lineRule="auto"/>
        <w:jc w:val="both"/>
        <w:rPr>
          <w:rFonts w:ascii="Arial" w:hAnsi="Arial" w:cs="Arial"/>
          <w:sz w:val="23"/>
          <w:szCs w:val="23"/>
          <w:lang w:val="fr-FR"/>
        </w:rPr>
      </w:pPr>
      <w:r w:rsidRPr="003F40EF">
        <w:rPr>
          <w:rFonts w:ascii="Arial" w:hAnsi="Arial" w:cs="Arial"/>
          <w:sz w:val="23"/>
          <w:szCs w:val="23"/>
          <w:lang w:val="fr-FR"/>
        </w:rPr>
        <w:t xml:space="preserve">En plus des listes d'engagements, les États membres de la SADC ont convenu d'élaborer des annexes sectorielles afin de prévoir des disciplines réglementaires pour soutenir les engagements de libéralisation et promouvoir le commerce dans les secteurs respectifs. Les annexes sur la circulation des personnes physiques (mode 4) et les services touristiques ont été </w:t>
      </w:r>
      <w:r w:rsidR="007F511A" w:rsidRPr="003F40EF">
        <w:rPr>
          <w:rFonts w:ascii="Arial" w:hAnsi="Arial" w:cs="Arial"/>
          <w:sz w:val="23"/>
          <w:szCs w:val="23"/>
          <w:lang w:val="fr-FR"/>
        </w:rPr>
        <w:t>nettoyées au niveau juridique.</w:t>
      </w:r>
      <w:r w:rsidRPr="003F40EF">
        <w:rPr>
          <w:rFonts w:ascii="Arial" w:hAnsi="Arial" w:cs="Arial"/>
          <w:sz w:val="23"/>
          <w:szCs w:val="23"/>
          <w:lang w:val="fr-FR"/>
        </w:rPr>
        <w:t xml:space="preserve"> Des négociations techniques sont en cours sur les articles en suspens dans les projets d'annexes couvrant les services financiers et de télécommunication. En ce qui concerne les services de transport et de logistique, les États membres sont en train de discuter de l'ambition et du contenu d'une telle annexe. </w:t>
      </w:r>
    </w:p>
    <w:p w:rsidR="00574FEB" w:rsidRPr="003F40EF" w:rsidRDefault="00574FEB" w:rsidP="00574FEB">
      <w:pPr>
        <w:spacing w:line="276" w:lineRule="auto"/>
        <w:jc w:val="both"/>
        <w:rPr>
          <w:rFonts w:ascii="Arial" w:hAnsi="Arial" w:cs="Arial"/>
          <w:sz w:val="23"/>
          <w:szCs w:val="23"/>
          <w:lang w:val="fr-FR"/>
        </w:rPr>
      </w:pPr>
      <w:r w:rsidRPr="003F40EF">
        <w:rPr>
          <w:rFonts w:ascii="Arial" w:hAnsi="Arial" w:cs="Arial"/>
          <w:sz w:val="23"/>
          <w:szCs w:val="23"/>
          <w:lang w:val="fr-FR"/>
        </w:rPr>
        <w:t xml:space="preserve">Le projet d'annexe sur les services postaux et </w:t>
      </w:r>
      <w:r w:rsidR="008C4E2D" w:rsidRPr="003F40EF">
        <w:rPr>
          <w:rFonts w:ascii="Arial" w:hAnsi="Arial" w:cs="Arial"/>
          <w:sz w:val="23"/>
          <w:szCs w:val="23"/>
          <w:lang w:val="fr-FR"/>
        </w:rPr>
        <w:t>de courrier</w:t>
      </w:r>
      <w:r w:rsidRPr="003F40EF">
        <w:rPr>
          <w:rFonts w:ascii="Arial" w:hAnsi="Arial" w:cs="Arial"/>
          <w:sz w:val="23"/>
          <w:szCs w:val="23"/>
          <w:lang w:val="fr-FR"/>
        </w:rPr>
        <w:t xml:space="preserve"> a fait </w:t>
      </w:r>
      <w:r w:rsidR="007F511A" w:rsidRPr="003F40EF">
        <w:rPr>
          <w:rFonts w:ascii="Arial" w:hAnsi="Arial" w:cs="Arial"/>
          <w:sz w:val="23"/>
          <w:szCs w:val="23"/>
          <w:lang w:val="fr-FR"/>
        </w:rPr>
        <w:t xml:space="preserve">l'objet de discussions, mais </w:t>
      </w:r>
      <w:r w:rsidRPr="003F40EF">
        <w:rPr>
          <w:rFonts w:ascii="Arial" w:hAnsi="Arial" w:cs="Arial"/>
          <w:sz w:val="23"/>
          <w:szCs w:val="23"/>
          <w:lang w:val="fr-FR"/>
        </w:rPr>
        <w:t>n'a pas encore été acce</w:t>
      </w:r>
      <w:r w:rsidR="007F511A" w:rsidRPr="003F40EF">
        <w:rPr>
          <w:rFonts w:ascii="Arial" w:hAnsi="Arial" w:cs="Arial"/>
          <w:sz w:val="23"/>
          <w:szCs w:val="23"/>
          <w:lang w:val="fr-FR"/>
        </w:rPr>
        <w:t>pté par tous les États membres.</w:t>
      </w:r>
      <w:r w:rsidRPr="003F40EF">
        <w:rPr>
          <w:rFonts w:ascii="Arial" w:hAnsi="Arial" w:cs="Arial"/>
          <w:sz w:val="23"/>
          <w:szCs w:val="23"/>
          <w:lang w:val="fr-FR"/>
        </w:rPr>
        <w:t xml:space="preserve"> Certains États Membres ont estimé que l'adoption d'une telle annexe enverrait un signal erroné car la position du Groupe africain à l'OMC était de s'o</w:t>
      </w:r>
      <w:r w:rsidR="007F511A" w:rsidRPr="003F40EF">
        <w:rPr>
          <w:rFonts w:ascii="Arial" w:hAnsi="Arial" w:cs="Arial"/>
          <w:sz w:val="23"/>
          <w:szCs w:val="23"/>
          <w:lang w:val="fr-FR"/>
        </w:rPr>
        <w:t>pposer à toute considération de négociations et d</w:t>
      </w:r>
      <w:r w:rsidRPr="003F40EF">
        <w:rPr>
          <w:rFonts w:ascii="Arial" w:hAnsi="Arial" w:cs="Arial"/>
          <w:sz w:val="23"/>
          <w:szCs w:val="23"/>
          <w:lang w:val="fr-FR"/>
        </w:rPr>
        <w:t>'élaboration de règles sur le commerce électronique. Toutefois, les questions clés portaient sur le lien entre les processus de la SADC et de l'OMC</w:t>
      </w:r>
      <w:r w:rsidR="007F511A" w:rsidRPr="003F40EF">
        <w:rPr>
          <w:rFonts w:ascii="Arial" w:hAnsi="Arial" w:cs="Arial"/>
          <w:sz w:val="23"/>
          <w:szCs w:val="23"/>
          <w:lang w:val="fr-FR"/>
        </w:rPr>
        <w:t>,</w:t>
      </w:r>
      <w:r w:rsidRPr="003F40EF">
        <w:rPr>
          <w:rFonts w:ascii="Arial" w:hAnsi="Arial" w:cs="Arial"/>
          <w:sz w:val="23"/>
          <w:szCs w:val="23"/>
          <w:lang w:val="fr-FR"/>
        </w:rPr>
        <w:t xml:space="preserve"> et sur la façon dont le projet d'annexe pourrait contredire ou frustrer la position du Groupe africain sur le </w:t>
      </w:r>
      <w:r w:rsidRPr="003F40EF">
        <w:rPr>
          <w:rFonts w:ascii="Arial" w:hAnsi="Arial" w:cs="Arial"/>
          <w:sz w:val="23"/>
          <w:szCs w:val="23"/>
          <w:lang w:val="fr-FR"/>
        </w:rPr>
        <w:lastRenderedPageBreak/>
        <w:t xml:space="preserve">commerce électronique. Certains États membres reconnaissent que le commerce électronique pourrait avoir des retombées sur les services de livraison express et les services touristiques, mais ils n'ont pas établi de lien clair avec le contenu du projet d'annexe. Compte tenu de ces divergences, les États Membres n'ont pas été en mesure de parvenir à un consensus sur la manière de procéder aux négociations sur le projet d'annexe.   </w:t>
      </w:r>
    </w:p>
    <w:p w:rsidR="00574FEB" w:rsidRPr="003F40EF" w:rsidRDefault="00574FEB" w:rsidP="00574FEB">
      <w:pPr>
        <w:spacing w:line="276" w:lineRule="auto"/>
        <w:jc w:val="both"/>
        <w:rPr>
          <w:rFonts w:ascii="Arial" w:hAnsi="Arial" w:cs="Arial"/>
          <w:sz w:val="23"/>
          <w:szCs w:val="23"/>
          <w:lang w:val="fr-FR"/>
        </w:rPr>
      </w:pPr>
      <w:r w:rsidRPr="003F40EF">
        <w:rPr>
          <w:rFonts w:ascii="Arial" w:hAnsi="Arial" w:cs="Arial"/>
          <w:sz w:val="23"/>
          <w:szCs w:val="23"/>
          <w:lang w:val="fr-FR"/>
        </w:rPr>
        <w:t xml:space="preserve">Les États membres doivent comprendre le contenu et l'état d'avancement du programme de travail de l'OMC sur le commerce électronique et établir s'il existe des liens entre les disciplines réglementaires proposées par la SADC en matière de services postaux et de </w:t>
      </w:r>
      <w:r w:rsidR="007F511A" w:rsidRPr="003F40EF">
        <w:rPr>
          <w:rFonts w:ascii="Arial" w:hAnsi="Arial" w:cs="Arial"/>
          <w:sz w:val="23"/>
          <w:szCs w:val="23"/>
          <w:lang w:val="fr-FR"/>
        </w:rPr>
        <w:t>courrier.</w:t>
      </w:r>
      <w:r w:rsidRPr="003F40EF">
        <w:rPr>
          <w:rFonts w:ascii="Arial" w:hAnsi="Arial" w:cs="Arial"/>
          <w:sz w:val="23"/>
          <w:szCs w:val="23"/>
          <w:lang w:val="fr-FR"/>
        </w:rPr>
        <w:t xml:space="preserve"> En outre, des informations comparables sur les mesures nationales des États Membres concernant les principales dispositions du projet d'annexe pourraient être utiles pour répondre à toute préoccupation et guider les négociations.  </w:t>
      </w:r>
    </w:p>
    <w:p w:rsidR="0025787E" w:rsidRPr="003F40EF" w:rsidRDefault="00355A80" w:rsidP="00A8451A">
      <w:pPr>
        <w:pStyle w:val="ListParagraph"/>
        <w:numPr>
          <w:ilvl w:val="0"/>
          <w:numId w:val="2"/>
        </w:numPr>
        <w:spacing w:before="240"/>
        <w:ind w:hanging="720"/>
        <w:contextualSpacing w:val="0"/>
        <w:rPr>
          <w:rFonts w:ascii="Arial" w:hAnsi="Arial" w:cs="Arial"/>
          <w:b/>
          <w:sz w:val="23"/>
          <w:szCs w:val="23"/>
          <w:lang w:val="fr-FR"/>
        </w:rPr>
      </w:pPr>
      <w:r w:rsidRPr="003F40EF">
        <w:rPr>
          <w:rFonts w:ascii="Arial" w:hAnsi="Arial" w:cs="Arial"/>
          <w:b/>
          <w:sz w:val="23"/>
          <w:szCs w:val="23"/>
          <w:lang w:val="fr-FR"/>
        </w:rPr>
        <w:t>Objectif</w:t>
      </w:r>
      <w:r w:rsidR="0025787E" w:rsidRPr="003F40EF">
        <w:rPr>
          <w:rFonts w:ascii="Arial" w:hAnsi="Arial" w:cs="Arial"/>
          <w:b/>
          <w:sz w:val="23"/>
          <w:szCs w:val="23"/>
          <w:lang w:val="fr-FR"/>
        </w:rPr>
        <w:t xml:space="preserve"> </w:t>
      </w:r>
    </w:p>
    <w:p w:rsidR="00574FEB" w:rsidRPr="003F40EF" w:rsidRDefault="00574FEB" w:rsidP="00574FEB">
      <w:pPr>
        <w:spacing w:line="276" w:lineRule="auto"/>
        <w:jc w:val="both"/>
        <w:rPr>
          <w:rFonts w:ascii="Arial" w:hAnsi="Arial" w:cs="Arial"/>
          <w:sz w:val="23"/>
          <w:szCs w:val="23"/>
          <w:lang w:val="fr-FR"/>
        </w:rPr>
      </w:pPr>
      <w:r w:rsidRPr="003F40EF">
        <w:rPr>
          <w:rFonts w:ascii="Arial" w:hAnsi="Arial" w:cs="Arial"/>
          <w:sz w:val="23"/>
          <w:szCs w:val="23"/>
          <w:lang w:val="fr-FR"/>
        </w:rPr>
        <w:t>L'objectif de ce document est de fournir des informations sur le programme de travail de l'OMC sur le commerce électronique (</w:t>
      </w:r>
      <w:r w:rsidR="007F511A" w:rsidRPr="003F40EF">
        <w:rPr>
          <w:rFonts w:ascii="Arial" w:hAnsi="Arial" w:cs="Arial"/>
          <w:sz w:val="23"/>
          <w:szCs w:val="23"/>
          <w:lang w:val="fr-FR"/>
        </w:rPr>
        <w:t>e-</w:t>
      </w:r>
      <w:r w:rsidRPr="003F40EF">
        <w:rPr>
          <w:rFonts w:ascii="Arial" w:hAnsi="Arial" w:cs="Arial"/>
          <w:sz w:val="23"/>
          <w:szCs w:val="23"/>
          <w:lang w:val="fr-FR"/>
        </w:rPr>
        <w:t xml:space="preserve">commerce) et les mesures nationales sur les services postaux et de </w:t>
      </w:r>
      <w:r w:rsidR="007F511A" w:rsidRPr="003F40EF">
        <w:rPr>
          <w:rFonts w:ascii="Arial" w:hAnsi="Arial" w:cs="Arial"/>
          <w:sz w:val="23"/>
          <w:szCs w:val="23"/>
          <w:lang w:val="fr-FR"/>
        </w:rPr>
        <w:t>courrier</w:t>
      </w:r>
      <w:r w:rsidRPr="003F40EF">
        <w:rPr>
          <w:rFonts w:ascii="Arial" w:hAnsi="Arial" w:cs="Arial"/>
          <w:sz w:val="23"/>
          <w:szCs w:val="23"/>
          <w:lang w:val="fr-FR"/>
        </w:rPr>
        <w:t xml:space="preserve"> afin de faciliter les délibérations du Forum de négociations commerciales (TNF) - Services pour la finalisation du projet d'annexe sur les services postaux et de </w:t>
      </w:r>
      <w:r w:rsidR="007F511A" w:rsidRPr="003F40EF">
        <w:rPr>
          <w:rFonts w:ascii="Arial" w:hAnsi="Arial" w:cs="Arial"/>
          <w:sz w:val="23"/>
          <w:szCs w:val="23"/>
          <w:lang w:val="fr-FR"/>
        </w:rPr>
        <w:t>courrier</w:t>
      </w:r>
      <w:r w:rsidRPr="003F40EF">
        <w:rPr>
          <w:rFonts w:ascii="Arial" w:hAnsi="Arial" w:cs="Arial"/>
          <w:sz w:val="23"/>
          <w:szCs w:val="23"/>
          <w:lang w:val="fr-FR"/>
        </w:rPr>
        <w:t xml:space="preserve">. Il évalue également le lien entre le commerce électronique et les obligations énoncées dans le projet d'annexe. </w:t>
      </w:r>
    </w:p>
    <w:p w:rsidR="00534AC9" w:rsidRPr="003F40EF" w:rsidRDefault="00355A80" w:rsidP="00534AC9">
      <w:pPr>
        <w:pStyle w:val="ListParagraph"/>
        <w:numPr>
          <w:ilvl w:val="0"/>
          <w:numId w:val="2"/>
        </w:numPr>
        <w:spacing w:before="240"/>
        <w:ind w:hanging="720"/>
        <w:contextualSpacing w:val="0"/>
        <w:rPr>
          <w:rFonts w:ascii="Arial" w:hAnsi="Arial" w:cs="Arial"/>
          <w:iCs/>
          <w:sz w:val="23"/>
          <w:szCs w:val="23"/>
          <w:lang w:val="fr-FR"/>
        </w:rPr>
      </w:pPr>
      <w:r w:rsidRPr="003F40EF">
        <w:rPr>
          <w:rFonts w:ascii="Arial" w:hAnsi="Arial" w:cs="Arial"/>
          <w:b/>
          <w:sz w:val="23"/>
          <w:szCs w:val="23"/>
          <w:lang w:val="fr-FR"/>
        </w:rPr>
        <w:t>Programme de travail de l’OMC sur le commerce électronique ou</w:t>
      </w:r>
      <w:r w:rsidR="00534AC9" w:rsidRPr="003F40EF">
        <w:rPr>
          <w:rFonts w:ascii="Arial" w:hAnsi="Arial" w:cs="Arial"/>
          <w:b/>
          <w:sz w:val="23"/>
          <w:szCs w:val="23"/>
          <w:lang w:val="fr-FR"/>
        </w:rPr>
        <w:t xml:space="preserve"> E-commerce</w:t>
      </w:r>
    </w:p>
    <w:p w:rsidR="007F511A" w:rsidRPr="003F40EF" w:rsidRDefault="007F511A" w:rsidP="007F511A">
      <w:pPr>
        <w:pStyle w:val="BodyText"/>
        <w:numPr>
          <w:ilvl w:val="0"/>
          <w:numId w:val="0"/>
        </w:numPr>
        <w:spacing w:after="160"/>
        <w:rPr>
          <w:rFonts w:ascii="Arial" w:hAnsi="Arial" w:cs="Arial"/>
          <w:sz w:val="23"/>
          <w:szCs w:val="23"/>
          <w:lang w:val="fr-FR"/>
        </w:rPr>
      </w:pPr>
      <w:r w:rsidRPr="003F40EF">
        <w:rPr>
          <w:rFonts w:ascii="Arial" w:hAnsi="Arial" w:cs="Arial"/>
          <w:sz w:val="23"/>
          <w:szCs w:val="23"/>
          <w:lang w:val="fr-FR"/>
        </w:rPr>
        <w:t xml:space="preserve">Lors de la deuxième Conférence ministérielle de l'OMC en mai 1998, les ministres, reconnaissant que la mise en place d'un programme de travail sur le commerce électronique pour examiner </w:t>
      </w:r>
      <w:r w:rsidRPr="003F40EF">
        <w:rPr>
          <w:rFonts w:ascii="Arial" w:hAnsi="Arial" w:cs="Arial"/>
          <w:b/>
          <w:sz w:val="23"/>
          <w:szCs w:val="23"/>
          <w:lang w:val="fr-FR"/>
        </w:rPr>
        <w:t>l'ensemble du commerce électronique mondial lié au commerce se développait et créait de nouvelles opportunités pour le commerce, ont adopté la Déclaration sur le commerce électronique mondial</w:t>
      </w:r>
      <w:r w:rsidRPr="003F40EF">
        <w:rPr>
          <w:rFonts w:ascii="Arial" w:hAnsi="Arial" w:cs="Arial"/>
          <w:sz w:val="23"/>
          <w:szCs w:val="23"/>
          <w:lang w:val="fr-FR"/>
        </w:rPr>
        <w:t xml:space="preserve">. La Déclaration demandait que les questions relatives au commerce électronique mondial, tenant compte des besoins économiques, financiers et de développement des pays en développement, et qu'il soit rendu compte de l'état d'avancement du programme de travail. Aux fins du programme de travail, on entend par commerce électronique "la production, la distribution, la commercialisation, la vente ou la livraison de biens et services par voie électronique". Au fil des années, les Conseils de l'OMC sur le commerce des biens, des services et  ADPIC ont exploré les aspects du commerce électronique par rapport aux cadres juridiques respectifs, tandis que le Comité du commerce et du développement s'est penché sur des aspects particuliers du développement, le Conseil général s'est penché sur des questions transversales. Ces dernières années, plusieurs membres de l'OMC ont exprimé le souhait d'explorer la possibilité d'étendre les règles de l'OMC pour traiter, entre autres, des questions liées à la protection des consommateurs et de la vie privée, </w:t>
      </w:r>
      <w:r w:rsidR="00AE0EE7" w:rsidRPr="003F40EF">
        <w:rPr>
          <w:rFonts w:ascii="Arial" w:hAnsi="Arial" w:cs="Arial"/>
          <w:sz w:val="23"/>
          <w:szCs w:val="23"/>
          <w:lang w:val="fr-FR"/>
        </w:rPr>
        <w:t xml:space="preserve">aux signatures électroniques, </w:t>
      </w:r>
      <w:r w:rsidRPr="003F40EF">
        <w:rPr>
          <w:rFonts w:ascii="Arial" w:hAnsi="Arial" w:cs="Arial"/>
          <w:sz w:val="23"/>
          <w:szCs w:val="23"/>
          <w:lang w:val="fr-FR"/>
        </w:rPr>
        <w:t xml:space="preserve">aux flux d'informations transfrontaliers, </w:t>
      </w:r>
      <w:r w:rsidR="00AE0EE7" w:rsidRPr="003F40EF">
        <w:rPr>
          <w:rFonts w:ascii="Arial" w:hAnsi="Arial" w:cs="Arial"/>
          <w:sz w:val="23"/>
          <w:szCs w:val="23"/>
          <w:lang w:val="fr-FR"/>
        </w:rPr>
        <w:t>à la localisation des données, au cloud computing</w:t>
      </w:r>
      <w:r w:rsidRPr="003F40EF">
        <w:rPr>
          <w:rFonts w:ascii="Arial" w:hAnsi="Arial" w:cs="Arial"/>
          <w:sz w:val="23"/>
          <w:szCs w:val="23"/>
          <w:lang w:val="fr-FR"/>
        </w:rPr>
        <w:t xml:space="preserve"> </w:t>
      </w:r>
      <w:r w:rsidR="00AE0EE7" w:rsidRPr="003F40EF">
        <w:rPr>
          <w:rFonts w:ascii="Arial" w:hAnsi="Arial" w:cs="Arial"/>
          <w:sz w:val="23"/>
          <w:szCs w:val="23"/>
          <w:lang w:val="fr-FR"/>
        </w:rPr>
        <w:t>(</w:t>
      </w:r>
      <w:r w:rsidRPr="003F40EF">
        <w:rPr>
          <w:rFonts w:ascii="Arial" w:hAnsi="Arial" w:cs="Arial"/>
          <w:sz w:val="23"/>
          <w:szCs w:val="23"/>
          <w:lang w:val="fr-FR"/>
        </w:rPr>
        <w:t xml:space="preserve">l'informatique </w:t>
      </w:r>
      <w:r w:rsidR="00AE0EE7" w:rsidRPr="003F40EF">
        <w:rPr>
          <w:rFonts w:ascii="Arial" w:hAnsi="Arial" w:cs="Arial"/>
          <w:sz w:val="23"/>
          <w:szCs w:val="23"/>
          <w:lang w:val="fr-FR"/>
        </w:rPr>
        <w:t>dématérialisée)</w:t>
      </w:r>
      <w:r w:rsidRPr="003F40EF">
        <w:rPr>
          <w:rFonts w:ascii="Arial" w:hAnsi="Arial" w:cs="Arial"/>
          <w:sz w:val="23"/>
          <w:szCs w:val="23"/>
          <w:lang w:val="fr-FR"/>
        </w:rPr>
        <w:t>, à la cyber</w:t>
      </w:r>
      <w:r w:rsidR="00AE0EE7" w:rsidRPr="003F40EF">
        <w:rPr>
          <w:rFonts w:ascii="Arial" w:hAnsi="Arial" w:cs="Arial"/>
          <w:sz w:val="23"/>
          <w:szCs w:val="23"/>
          <w:lang w:val="fr-FR"/>
        </w:rPr>
        <w:t>-</w:t>
      </w:r>
      <w:r w:rsidRPr="003F40EF">
        <w:rPr>
          <w:rFonts w:ascii="Arial" w:hAnsi="Arial" w:cs="Arial"/>
          <w:sz w:val="23"/>
          <w:szCs w:val="23"/>
          <w:lang w:val="fr-FR"/>
        </w:rPr>
        <w:t>sécurité et aux paiements électroniques.</w:t>
      </w:r>
    </w:p>
    <w:p w:rsidR="00AE0EE7" w:rsidRPr="003F40EF" w:rsidRDefault="00574FEB" w:rsidP="00AE0EE7">
      <w:pPr>
        <w:pStyle w:val="BodyText"/>
        <w:numPr>
          <w:ilvl w:val="0"/>
          <w:numId w:val="0"/>
        </w:numPr>
        <w:spacing w:line="276" w:lineRule="auto"/>
        <w:rPr>
          <w:rFonts w:ascii="Arial" w:hAnsi="Arial" w:cs="Arial"/>
          <w:sz w:val="23"/>
          <w:szCs w:val="23"/>
          <w:lang w:val="fr-FR"/>
        </w:rPr>
      </w:pPr>
      <w:r w:rsidRPr="003F40EF">
        <w:rPr>
          <w:rFonts w:ascii="Arial" w:hAnsi="Arial" w:cs="Arial"/>
          <w:sz w:val="23"/>
          <w:szCs w:val="23"/>
          <w:lang w:val="fr-FR"/>
        </w:rPr>
        <w:t xml:space="preserve">Tant les </w:t>
      </w:r>
      <w:r w:rsidR="00AE0EE7" w:rsidRPr="003F40EF">
        <w:rPr>
          <w:rFonts w:ascii="Arial" w:hAnsi="Arial" w:cs="Arial"/>
          <w:sz w:val="23"/>
          <w:szCs w:val="23"/>
          <w:lang w:val="fr-FR"/>
        </w:rPr>
        <w:t>PMA que le Groupe africain o</w:t>
      </w:r>
      <w:r w:rsidRPr="003F40EF">
        <w:rPr>
          <w:rFonts w:ascii="Arial" w:hAnsi="Arial" w:cs="Arial"/>
          <w:sz w:val="23"/>
          <w:szCs w:val="23"/>
          <w:lang w:val="fr-FR"/>
        </w:rPr>
        <w:t xml:space="preserve">nt réaffirmé que le programme de travail n'avait pas de mandat de négociation et qu'il se voulait de nature exploratoire. Les deux groupes ont abordé les discussions exploratoires dans une perspective qui met l'accent sur l'aspect </w:t>
      </w:r>
      <w:r w:rsidRPr="003F40EF">
        <w:rPr>
          <w:rFonts w:ascii="Arial" w:hAnsi="Arial" w:cs="Arial"/>
          <w:sz w:val="23"/>
          <w:szCs w:val="23"/>
          <w:lang w:val="fr-FR"/>
        </w:rPr>
        <w:lastRenderedPageBreak/>
        <w:t>développement du commerce électronique. Le Groupe africain a identifié plusieurs domaines prioritaires, notamment : la fracture numérique ; l'importance des droits numériques, maintenant que les données sont la matière première de l'économie numérique ; les niveaux élevés de concentration du marché existant dans l'espace du commerce électronique ; l'éventail des tentatives au niveau national pour façonner les flux numériques. L'insuffisance de l'infrastructure et la faible connectivité empêchent les PMA et les pays africains de tirer parti du commerce électronique, sans parler de l'élaboration de règles. Ils ont exho</w:t>
      </w:r>
      <w:r w:rsidR="00AE0EE7" w:rsidRPr="003F40EF">
        <w:rPr>
          <w:rFonts w:ascii="Arial" w:hAnsi="Arial" w:cs="Arial"/>
          <w:sz w:val="23"/>
          <w:szCs w:val="23"/>
          <w:lang w:val="fr-FR"/>
        </w:rPr>
        <w:t>rté les Membres à recentrer le p</w:t>
      </w:r>
      <w:r w:rsidRPr="003F40EF">
        <w:rPr>
          <w:rFonts w:ascii="Arial" w:hAnsi="Arial" w:cs="Arial"/>
          <w:sz w:val="23"/>
          <w:szCs w:val="23"/>
          <w:lang w:val="fr-FR"/>
        </w:rPr>
        <w:t>rogramme de travail sur la dimension développement du commerce électronique en vue de les préparer au commerce électronique et de réduire la fracture numérique. Les discussions pourraient porter, par exemple, sur l'amélioration de l'accès à l'infrastructure, le transfert de technologie et l'utilisation des technologies de l'information dans l'intégration des pays en développement. Ils ont encouragé les Membres à partager leurs expériences sur la politique, la réglementation et les mesures spécifiques qu'ils avaient utilisées pour tirer profit au niveau national d'une plus grande participation au commerce électronique. Les ministres africains du commerce, dans leur déclaration publiée en novembre 2016, avaient demandé que tout travail entrepris dans le cadre de l'OMC soit conforme à l'Agenda 2063 de l'Union africaine, en vue d'une transformation structurelle et de l'industrialisation dans la construction de</w:t>
      </w:r>
      <w:r w:rsidR="00AE0EE7" w:rsidRPr="003F40EF">
        <w:rPr>
          <w:rFonts w:ascii="Arial" w:hAnsi="Arial" w:cs="Arial"/>
          <w:sz w:val="23"/>
          <w:szCs w:val="23"/>
          <w:lang w:val="fr-FR"/>
        </w:rPr>
        <w:t xml:space="preserve"> "L'Afrique que nous voulons". </w:t>
      </w:r>
    </w:p>
    <w:p w:rsidR="00574FEB" w:rsidRPr="003F40EF" w:rsidRDefault="00574FEB" w:rsidP="00AE0EE7">
      <w:pPr>
        <w:pStyle w:val="BodyText"/>
        <w:numPr>
          <w:ilvl w:val="0"/>
          <w:numId w:val="0"/>
        </w:numPr>
        <w:spacing w:line="276" w:lineRule="auto"/>
        <w:rPr>
          <w:rFonts w:ascii="Arial" w:hAnsi="Arial" w:cs="Arial"/>
          <w:sz w:val="23"/>
          <w:szCs w:val="23"/>
          <w:lang w:val="fr-FR"/>
        </w:rPr>
      </w:pPr>
      <w:r w:rsidRPr="003F40EF">
        <w:rPr>
          <w:rFonts w:ascii="Arial" w:hAnsi="Arial" w:cs="Arial"/>
          <w:sz w:val="23"/>
          <w:szCs w:val="23"/>
          <w:lang w:val="fr-FR"/>
        </w:rPr>
        <w:t>Lors de la MC11, les ministres ont adopté une décision sur le programme de travail</w:t>
      </w:r>
      <w:r w:rsidR="00284AF6" w:rsidRPr="003F40EF">
        <w:rPr>
          <w:rFonts w:ascii="Arial" w:hAnsi="Arial" w:cs="Arial"/>
          <w:sz w:val="23"/>
          <w:szCs w:val="23"/>
          <w:vertAlign w:val="superscript"/>
          <w:lang w:val="fr-FR"/>
        </w:rPr>
        <w:footnoteReference w:id="1"/>
      </w:r>
      <w:r w:rsidR="00284AF6" w:rsidRPr="003F40EF">
        <w:rPr>
          <w:rFonts w:ascii="Arial" w:hAnsi="Arial" w:cs="Arial"/>
          <w:sz w:val="23"/>
          <w:szCs w:val="23"/>
          <w:lang w:val="fr-FR"/>
        </w:rPr>
        <w:t>,</w:t>
      </w:r>
      <w:r w:rsidRPr="003F40EF">
        <w:rPr>
          <w:rFonts w:ascii="Arial" w:hAnsi="Arial" w:cs="Arial"/>
          <w:sz w:val="23"/>
          <w:szCs w:val="23"/>
          <w:lang w:val="fr-FR"/>
        </w:rPr>
        <w:t xml:space="preserve"> dans laquelle ils ont convenu de poursuivre les travaux dans le cadre du mandat existant et de mainteni</w:t>
      </w:r>
      <w:r w:rsidR="00284AF6" w:rsidRPr="003F40EF">
        <w:rPr>
          <w:rFonts w:ascii="Arial" w:hAnsi="Arial" w:cs="Arial"/>
          <w:sz w:val="23"/>
          <w:szCs w:val="23"/>
          <w:lang w:val="fr-FR"/>
        </w:rPr>
        <w:t>r le moratoire jusqu'à la MC12.</w:t>
      </w:r>
      <w:r w:rsidRPr="003F40EF">
        <w:rPr>
          <w:rFonts w:ascii="Arial" w:hAnsi="Arial" w:cs="Arial"/>
          <w:sz w:val="23"/>
          <w:szCs w:val="23"/>
          <w:lang w:val="fr-FR"/>
        </w:rPr>
        <w:t xml:space="preserve"> Plus de 70 délégations ont également publié une "Déclaration conjointe sur le commerce électronique"</w:t>
      </w:r>
      <w:r w:rsidR="00284AF6" w:rsidRPr="003F40EF">
        <w:rPr>
          <w:rFonts w:ascii="Arial" w:hAnsi="Arial" w:cs="Arial"/>
          <w:sz w:val="23"/>
          <w:szCs w:val="23"/>
          <w:vertAlign w:val="superscript"/>
          <w:lang w:val="fr-FR"/>
        </w:rPr>
        <w:footnoteReference w:id="2"/>
      </w:r>
      <w:r w:rsidR="00284AF6" w:rsidRPr="003F40EF">
        <w:rPr>
          <w:rFonts w:ascii="Arial" w:hAnsi="Arial" w:cs="Arial"/>
          <w:sz w:val="23"/>
          <w:szCs w:val="23"/>
          <w:lang w:val="fr-FR"/>
        </w:rPr>
        <w:t>,</w:t>
      </w:r>
      <w:r w:rsidRPr="003F40EF">
        <w:rPr>
          <w:rFonts w:ascii="Arial" w:hAnsi="Arial" w:cs="Arial"/>
          <w:sz w:val="23"/>
          <w:szCs w:val="23"/>
          <w:lang w:val="fr-FR"/>
        </w:rPr>
        <w:t xml:space="preserve"> affirmant leur intention d'"entamer ensemble des travaux exploratoires en vue des futures négociations de l'OMC sur les aspects du commerce électronique liés au commerce".</w:t>
      </w:r>
    </w:p>
    <w:p w:rsidR="00574FEB" w:rsidRPr="003F40EF" w:rsidRDefault="00574FEB" w:rsidP="00574FEB">
      <w:pPr>
        <w:pStyle w:val="BodyText"/>
        <w:numPr>
          <w:ilvl w:val="0"/>
          <w:numId w:val="0"/>
        </w:numPr>
        <w:spacing w:after="160" w:line="276" w:lineRule="auto"/>
        <w:rPr>
          <w:rFonts w:ascii="Arial" w:hAnsi="Arial" w:cs="Arial"/>
          <w:sz w:val="23"/>
          <w:szCs w:val="23"/>
          <w:lang w:val="fr-FR"/>
        </w:rPr>
      </w:pPr>
      <w:r w:rsidRPr="003F40EF">
        <w:rPr>
          <w:rFonts w:ascii="Arial" w:hAnsi="Arial" w:cs="Arial"/>
          <w:sz w:val="23"/>
          <w:szCs w:val="23"/>
          <w:lang w:val="fr-FR"/>
        </w:rPr>
        <w:t xml:space="preserve">Le programme de travail sur le commerce électronique n'a pas abordé les services postaux et de </w:t>
      </w:r>
      <w:r w:rsidR="00284AF6" w:rsidRPr="003F40EF">
        <w:rPr>
          <w:rFonts w:ascii="Arial" w:hAnsi="Arial" w:cs="Arial"/>
          <w:sz w:val="23"/>
          <w:szCs w:val="23"/>
          <w:lang w:val="fr-FR"/>
        </w:rPr>
        <w:t>courrier de manière plus spécifique.</w:t>
      </w:r>
      <w:r w:rsidRPr="003F40EF">
        <w:rPr>
          <w:rFonts w:ascii="Arial" w:hAnsi="Arial" w:cs="Arial"/>
          <w:sz w:val="23"/>
          <w:szCs w:val="23"/>
          <w:lang w:val="fr-FR"/>
        </w:rPr>
        <w:t xml:space="preserve"> Certains membres considèrent que ces services sont un élément indispensable dans l'écosystème du commerce électronique. La croissance du commerce électronique de marchandises génère une demande pour de meilleurs services postaux et de </w:t>
      </w:r>
      <w:r w:rsidR="00284AF6" w:rsidRPr="003F40EF">
        <w:rPr>
          <w:rFonts w:ascii="Arial" w:hAnsi="Arial" w:cs="Arial"/>
          <w:sz w:val="23"/>
          <w:szCs w:val="23"/>
          <w:lang w:val="fr-FR"/>
        </w:rPr>
        <w:t>courrier</w:t>
      </w:r>
      <w:r w:rsidRPr="003F40EF">
        <w:rPr>
          <w:rFonts w:ascii="Arial" w:hAnsi="Arial" w:cs="Arial"/>
          <w:sz w:val="23"/>
          <w:szCs w:val="23"/>
          <w:lang w:val="fr-FR"/>
        </w:rPr>
        <w:t xml:space="preserve"> qui facilitent la livraison des colis, tant au pays qu'à l'étranger. Certains membres ont affirmé que le développement du secteur des services de </w:t>
      </w:r>
      <w:r w:rsidR="00284AF6" w:rsidRPr="003F40EF">
        <w:rPr>
          <w:rFonts w:ascii="Arial" w:hAnsi="Arial" w:cs="Arial"/>
          <w:sz w:val="23"/>
          <w:szCs w:val="23"/>
          <w:lang w:val="fr-FR"/>
        </w:rPr>
        <w:t>courrier</w:t>
      </w:r>
      <w:r w:rsidRPr="003F40EF">
        <w:rPr>
          <w:rFonts w:ascii="Arial" w:hAnsi="Arial" w:cs="Arial"/>
          <w:sz w:val="23"/>
          <w:szCs w:val="23"/>
          <w:lang w:val="fr-FR"/>
        </w:rPr>
        <w:t xml:space="preserve"> pourrait contribuer à tirer pleinement parti des possibilités offertes par le commerce électronique. Dans les discussions de l'OMC sur le commerce électronique, la Chine, par exemple, a encouragé la concurrence dans le secteur des services de </w:t>
      </w:r>
      <w:r w:rsidR="00284AF6" w:rsidRPr="003F40EF">
        <w:rPr>
          <w:rFonts w:ascii="Arial" w:hAnsi="Arial" w:cs="Arial"/>
          <w:sz w:val="23"/>
          <w:szCs w:val="23"/>
          <w:lang w:val="fr-FR"/>
        </w:rPr>
        <w:t>courrier</w:t>
      </w:r>
      <w:r w:rsidRPr="003F40EF">
        <w:rPr>
          <w:rFonts w:ascii="Arial" w:hAnsi="Arial" w:cs="Arial"/>
          <w:sz w:val="23"/>
          <w:szCs w:val="23"/>
          <w:lang w:val="fr-FR"/>
        </w:rPr>
        <w:t xml:space="preserve">.  </w:t>
      </w:r>
    </w:p>
    <w:p w:rsidR="009B6921" w:rsidRPr="003F40EF" w:rsidRDefault="00D8431F" w:rsidP="009B6921">
      <w:pPr>
        <w:pStyle w:val="ListParagraph"/>
        <w:numPr>
          <w:ilvl w:val="0"/>
          <w:numId w:val="2"/>
        </w:numPr>
        <w:spacing w:before="240"/>
        <w:ind w:hanging="720"/>
        <w:contextualSpacing w:val="0"/>
        <w:rPr>
          <w:rFonts w:ascii="Arial" w:hAnsi="Arial" w:cs="Arial"/>
          <w:sz w:val="23"/>
          <w:szCs w:val="23"/>
          <w:lang w:val="fr-FR"/>
        </w:rPr>
      </w:pPr>
      <w:r w:rsidRPr="003F40EF">
        <w:rPr>
          <w:rFonts w:ascii="Arial" w:hAnsi="Arial" w:cs="Arial"/>
          <w:b/>
          <w:sz w:val="23"/>
          <w:szCs w:val="23"/>
          <w:lang w:val="fr-FR"/>
        </w:rPr>
        <w:t>E</w:t>
      </w:r>
      <w:r w:rsidR="00355A80" w:rsidRPr="003F40EF">
        <w:rPr>
          <w:rFonts w:ascii="Arial" w:hAnsi="Arial" w:cs="Arial"/>
          <w:b/>
          <w:sz w:val="23"/>
          <w:szCs w:val="23"/>
          <w:lang w:val="fr-FR"/>
        </w:rPr>
        <w:t>-commerce, services postaux et de</w:t>
      </w:r>
      <w:r w:rsidR="009B6921" w:rsidRPr="003F40EF">
        <w:rPr>
          <w:rFonts w:ascii="Arial" w:hAnsi="Arial" w:cs="Arial"/>
          <w:b/>
          <w:sz w:val="23"/>
          <w:szCs w:val="23"/>
          <w:lang w:val="fr-FR"/>
        </w:rPr>
        <w:t xml:space="preserve"> cour</w:t>
      </w:r>
      <w:r w:rsidR="00355A80" w:rsidRPr="003F40EF">
        <w:rPr>
          <w:rFonts w:ascii="Arial" w:hAnsi="Arial" w:cs="Arial"/>
          <w:b/>
          <w:sz w:val="23"/>
          <w:szCs w:val="23"/>
          <w:lang w:val="fr-FR"/>
        </w:rPr>
        <w:t xml:space="preserve">rier </w:t>
      </w:r>
    </w:p>
    <w:p w:rsidR="00574FEB" w:rsidRPr="003F40EF" w:rsidRDefault="00574FEB" w:rsidP="003E6A96">
      <w:pPr>
        <w:spacing w:before="240" w:line="276" w:lineRule="auto"/>
        <w:jc w:val="both"/>
        <w:rPr>
          <w:rFonts w:ascii="Arial" w:hAnsi="Arial" w:cs="Arial"/>
          <w:sz w:val="23"/>
          <w:szCs w:val="23"/>
          <w:lang w:val="fr-FR"/>
        </w:rPr>
      </w:pPr>
      <w:r w:rsidRPr="003F40EF">
        <w:rPr>
          <w:rFonts w:ascii="Arial" w:hAnsi="Arial" w:cs="Arial"/>
          <w:sz w:val="23"/>
          <w:szCs w:val="23"/>
          <w:lang w:val="fr-FR"/>
        </w:rPr>
        <w:t>L'Internet a changé</w:t>
      </w:r>
      <w:r w:rsidR="00325126" w:rsidRPr="003F40EF">
        <w:rPr>
          <w:rFonts w:ascii="Arial" w:hAnsi="Arial" w:cs="Arial"/>
          <w:sz w:val="23"/>
          <w:szCs w:val="23"/>
          <w:lang w:val="fr-FR"/>
        </w:rPr>
        <w:t>, au-delà de la reconnaissance,</w:t>
      </w:r>
      <w:r w:rsidRPr="003F40EF">
        <w:rPr>
          <w:rFonts w:ascii="Arial" w:hAnsi="Arial" w:cs="Arial"/>
          <w:sz w:val="23"/>
          <w:szCs w:val="23"/>
          <w:lang w:val="fr-FR"/>
        </w:rPr>
        <w:t xml:space="preserve"> la façon dont les consommat</w:t>
      </w:r>
      <w:r w:rsidR="00325126" w:rsidRPr="003F40EF">
        <w:rPr>
          <w:rFonts w:ascii="Arial" w:hAnsi="Arial" w:cs="Arial"/>
          <w:sz w:val="23"/>
          <w:szCs w:val="23"/>
          <w:lang w:val="fr-FR"/>
        </w:rPr>
        <w:t>eurs effectuent leurs achats.</w:t>
      </w:r>
      <w:r w:rsidRPr="003F40EF">
        <w:rPr>
          <w:rFonts w:ascii="Arial" w:hAnsi="Arial" w:cs="Arial"/>
          <w:sz w:val="23"/>
          <w:szCs w:val="23"/>
          <w:lang w:val="fr-FR"/>
        </w:rPr>
        <w:t xml:space="preserve"> Les ventes au détail du commerce électronique mondial s'élevaient à 2307 milliards de dollars en 2017 et devraient atteindre 4878 milliards de dollars d'ici 2021. On estime que d'ici 2022, le commerce de détail transfrontalie</w:t>
      </w:r>
      <w:r w:rsidR="00325126" w:rsidRPr="003F40EF">
        <w:rPr>
          <w:rFonts w:ascii="Arial" w:hAnsi="Arial" w:cs="Arial"/>
          <w:sz w:val="23"/>
          <w:szCs w:val="23"/>
          <w:lang w:val="fr-FR"/>
        </w:rPr>
        <w:t xml:space="preserve">r </w:t>
      </w:r>
      <w:r w:rsidR="00325126" w:rsidRPr="003F40EF">
        <w:rPr>
          <w:rFonts w:ascii="Arial" w:hAnsi="Arial" w:cs="Arial"/>
          <w:sz w:val="23"/>
          <w:szCs w:val="23"/>
          <w:lang w:val="fr-FR"/>
        </w:rPr>
        <w:lastRenderedPageBreak/>
        <w:t>représentera 20</w:t>
      </w:r>
      <w:r w:rsidRPr="003F40EF">
        <w:rPr>
          <w:rFonts w:ascii="Arial" w:hAnsi="Arial" w:cs="Arial"/>
          <w:sz w:val="23"/>
          <w:szCs w:val="23"/>
          <w:lang w:val="fr-FR"/>
        </w:rPr>
        <w:t>% de l'ensemble du commerce électronique, en raison du nombre croissant de consommateurs dans les pays en développement, où les gens achètent de plus en plus de biens en ligne qui ne sont pas disponibles localement, les biens étant expédiés directement aux consommateurs à travers les frontières. Alors que la communication sous forme de lettres et de cartes postales a cédé la place,</w:t>
      </w:r>
      <w:r w:rsidR="00325126" w:rsidRPr="003F40EF">
        <w:rPr>
          <w:rFonts w:ascii="Arial" w:hAnsi="Arial" w:cs="Arial"/>
          <w:sz w:val="23"/>
          <w:szCs w:val="23"/>
          <w:lang w:val="fr-FR"/>
        </w:rPr>
        <w:t xml:space="preserve"> en grande partie, au courrier électronique, aux messages sous forme de texto</w:t>
      </w:r>
      <w:r w:rsidRPr="003F40EF">
        <w:rPr>
          <w:rFonts w:ascii="Arial" w:hAnsi="Arial" w:cs="Arial"/>
          <w:sz w:val="23"/>
          <w:szCs w:val="23"/>
          <w:lang w:val="fr-FR"/>
        </w:rPr>
        <w:t xml:space="preserve">s et aux contacts par le biais des médias sociaux, réduisant ainsi le besoin de services postaux traditionnels, le magasinage en ligne a donné un nouveau souffle aux services postaux et aux services </w:t>
      </w:r>
      <w:r w:rsidR="008C4E2D" w:rsidRPr="003F40EF">
        <w:rPr>
          <w:rFonts w:ascii="Arial" w:hAnsi="Arial" w:cs="Arial"/>
          <w:sz w:val="23"/>
          <w:szCs w:val="23"/>
          <w:lang w:val="fr-FR"/>
        </w:rPr>
        <w:t>de courrier</w:t>
      </w:r>
      <w:r w:rsidRPr="003F40EF">
        <w:rPr>
          <w:rFonts w:ascii="Arial" w:hAnsi="Arial" w:cs="Arial"/>
          <w:sz w:val="23"/>
          <w:szCs w:val="23"/>
          <w:lang w:val="fr-FR"/>
        </w:rPr>
        <w:t>.  Au lieu d'éliminer le besoin de tels services, l'Internet offre maintenant des possibilités. L'essor du commerce élect</w:t>
      </w:r>
      <w:r w:rsidR="00325126" w:rsidRPr="003F40EF">
        <w:rPr>
          <w:rFonts w:ascii="Arial" w:hAnsi="Arial" w:cs="Arial"/>
          <w:sz w:val="23"/>
          <w:szCs w:val="23"/>
          <w:lang w:val="fr-FR"/>
        </w:rPr>
        <w:t>ronique et des achats en ligne</w:t>
      </w:r>
      <w:r w:rsidRPr="003F40EF">
        <w:rPr>
          <w:rFonts w:ascii="Arial" w:hAnsi="Arial" w:cs="Arial"/>
          <w:sz w:val="23"/>
          <w:szCs w:val="23"/>
          <w:lang w:val="fr-FR"/>
        </w:rPr>
        <w:t xml:space="preserve"> a le potentiel de générer d'énormes nouveaux volumes de petits colis que les services postaux du monde entier sont en mesure de traiter et de livrer à faible coût, en concurrence avec les entreprises de livraison </w:t>
      </w:r>
      <w:r w:rsidR="00325126" w:rsidRPr="003F40EF">
        <w:rPr>
          <w:rFonts w:ascii="Arial" w:hAnsi="Arial" w:cs="Arial"/>
          <w:sz w:val="23"/>
          <w:szCs w:val="23"/>
          <w:lang w:val="fr-FR"/>
        </w:rPr>
        <w:t>express commerciale.</w:t>
      </w:r>
      <w:r w:rsidRPr="003F40EF">
        <w:rPr>
          <w:rFonts w:ascii="Arial" w:hAnsi="Arial" w:cs="Arial"/>
          <w:sz w:val="23"/>
          <w:szCs w:val="23"/>
          <w:lang w:val="fr-FR"/>
        </w:rPr>
        <w:t xml:space="preserve"> On estime que les colis et la logistique ont contribué à 17 % des recettes mondiales des services postaux en 2012, contre seulement 9 % en 2002, car le commerce électronique génère des volumes de plus en plus importants de petits colis transitant par le système mondial.</w:t>
      </w:r>
    </w:p>
    <w:p w:rsidR="00CA63A9" w:rsidRPr="003F40EF" w:rsidRDefault="00CA63A9" w:rsidP="003E6A96">
      <w:pPr>
        <w:spacing w:before="240" w:line="276" w:lineRule="auto"/>
        <w:jc w:val="both"/>
        <w:rPr>
          <w:rFonts w:ascii="Arial" w:hAnsi="Arial" w:cs="Arial"/>
          <w:lang w:val="fr-FR"/>
        </w:rPr>
      </w:pPr>
      <w:r w:rsidRPr="003F40EF">
        <w:rPr>
          <w:noProof/>
          <w:lang w:val="fr-FR"/>
        </w:rPr>
        <w:drawing>
          <wp:inline distT="0" distB="0" distL="0" distR="0" wp14:anchorId="31288386" wp14:editId="08A42D14">
            <wp:extent cx="5731510" cy="3677326"/>
            <wp:effectExtent l="0" t="0" r="2540" b="0"/>
            <wp:docPr id="4" name="Picture 4" descr="C:\Users\Jelitto\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itto\AppData\Local\Microsoft\Windows\Temporary Internet Files\Content.Word\Snip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77326"/>
                    </a:xfrm>
                    <a:prstGeom prst="rect">
                      <a:avLst/>
                    </a:prstGeom>
                    <a:noFill/>
                    <a:ln>
                      <a:noFill/>
                    </a:ln>
                  </pic:spPr>
                </pic:pic>
              </a:graphicData>
            </a:graphic>
          </wp:inline>
        </w:drawing>
      </w:r>
    </w:p>
    <w:p w:rsidR="00CA63A9" w:rsidRPr="003F40EF" w:rsidRDefault="00325126" w:rsidP="003E6A96">
      <w:pPr>
        <w:spacing w:before="240" w:line="276" w:lineRule="auto"/>
        <w:jc w:val="both"/>
        <w:rPr>
          <w:rFonts w:ascii="Arial" w:hAnsi="Arial" w:cs="Arial"/>
          <w:sz w:val="20"/>
          <w:szCs w:val="20"/>
          <w:u w:val="single"/>
          <w:lang w:val="fr-FR"/>
        </w:rPr>
      </w:pPr>
      <w:r w:rsidRPr="003F40EF">
        <w:rPr>
          <w:rFonts w:ascii="Arial" w:hAnsi="Arial" w:cs="Arial"/>
          <w:iCs/>
          <w:sz w:val="20"/>
          <w:szCs w:val="20"/>
          <w:u w:val="single"/>
          <w:lang w:val="fr-FR"/>
        </w:rPr>
        <w:t xml:space="preserve">Ventes au détail du commerce électronique mondial </w:t>
      </w:r>
      <w:r w:rsidR="00DA1A2D" w:rsidRPr="003F40EF">
        <w:rPr>
          <w:rFonts w:ascii="Arial" w:hAnsi="Arial" w:cs="Arial"/>
          <w:sz w:val="20"/>
          <w:szCs w:val="20"/>
          <w:u w:val="single"/>
          <w:lang w:val="fr-FR"/>
        </w:rPr>
        <w:t>2014 -2021 (en milliards de dollars américains</w:t>
      </w:r>
      <w:r w:rsidR="00CA63A9" w:rsidRPr="003F40EF">
        <w:rPr>
          <w:rFonts w:ascii="Arial" w:hAnsi="Arial" w:cs="Arial"/>
          <w:sz w:val="20"/>
          <w:szCs w:val="20"/>
          <w:u w:val="single"/>
          <w:lang w:val="fr-FR"/>
        </w:rPr>
        <w:t>)</w:t>
      </w:r>
    </w:p>
    <w:p w:rsidR="00574FEB" w:rsidRPr="003F40EF" w:rsidRDefault="00574FEB" w:rsidP="00574FEB">
      <w:pPr>
        <w:spacing w:before="240" w:line="276" w:lineRule="auto"/>
        <w:jc w:val="both"/>
        <w:rPr>
          <w:rFonts w:ascii="Arial" w:hAnsi="Arial" w:cs="Arial"/>
          <w:iCs/>
          <w:lang w:val="fr-FR"/>
        </w:rPr>
      </w:pPr>
      <w:r w:rsidRPr="003F40EF">
        <w:rPr>
          <w:rFonts w:ascii="Arial" w:hAnsi="Arial" w:cs="Arial"/>
          <w:iCs/>
          <w:lang w:val="fr-FR"/>
        </w:rPr>
        <w:t>Par exemple, rien qu'en Afrique du Sud, on estime qu'il y a actuellement 18,43 millions d'utilisateurs du commerce électronique, et 6,36 millions d'utilisateurs supplémentaires devraient faire des achats en ligne d'ici 2021, selon eShopWorld (voir la figure ci-dessous).  Dans quatre ans, environ 24,79 millions d'utilisateurs de commerce électronique d</w:t>
      </w:r>
      <w:r w:rsidR="00DA1A2D" w:rsidRPr="003F40EF">
        <w:rPr>
          <w:rFonts w:ascii="Arial" w:hAnsi="Arial" w:cs="Arial"/>
          <w:iCs/>
          <w:lang w:val="fr-FR"/>
        </w:rPr>
        <w:t>épenseront en moyenne 189,47 dollars américains</w:t>
      </w:r>
      <w:r w:rsidRPr="003F40EF">
        <w:rPr>
          <w:rFonts w:ascii="Arial" w:hAnsi="Arial" w:cs="Arial"/>
          <w:iCs/>
          <w:lang w:val="fr-FR"/>
        </w:rPr>
        <w:t xml:space="preserve"> en ligne.</w:t>
      </w:r>
    </w:p>
    <w:p w:rsidR="009B6921" w:rsidRPr="003F40EF" w:rsidRDefault="009B6921" w:rsidP="009B6921">
      <w:pPr>
        <w:shd w:val="clear" w:color="auto" w:fill="FFFFFF"/>
        <w:suppressAutoHyphens/>
        <w:spacing w:after="384" w:line="408" w:lineRule="atLeast"/>
        <w:jc w:val="both"/>
        <w:textAlignment w:val="baseline"/>
        <w:rPr>
          <w:rFonts w:ascii="Arial" w:hAnsi="Arial" w:cs="Arial"/>
          <w:iCs/>
          <w:lang w:val="fr-FR"/>
        </w:rPr>
      </w:pPr>
      <w:r w:rsidRPr="003F40EF">
        <w:rPr>
          <w:rFonts w:ascii="Arial" w:hAnsi="Arial" w:cs="Arial"/>
          <w:iCs/>
          <w:noProof/>
          <w:lang w:val="fr-FR"/>
        </w:rPr>
        <w:lastRenderedPageBreak/>
        <w:drawing>
          <wp:inline distT="0" distB="0" distL="0" distR="0" wp14:anchorId="59637726" wp14:editId="57DEC837">
            <wp:extent cx="5731510" cy="29946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Africa-online-1.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994660"/>
                    </a:xfrm>
                    <a:prstGeom prst="rect">
                      <a:avLst/>
                    </a:prstGeom>
                  </pic:spPr>
                </pic:pic>
              </a:graphicData>
            </a:graphic>
          </wp:inline>
        </w:drawing>
      </w:r>
    </w:p>
    <w:p w:rsidR="00574FEB" w:rsidRPr="003F40EF" w:rsidRDefault="00574FEB" w:rsidP="003E6A96">
      <w:pPr>
        <w:spacing w:before="240" w:line="276" w:lineRule="auto"/>
        <w:jc w:val="both"/>
        <w:rPr>
          <w:rFonts w:ascii="Arial" w:hAnsi="Arial" w:cs="Arial"/>
          <w:iCs/>
          <w:lang w:val="fr-FR"/>
        </w:rPr>
      </w:pPr>
      <w:r w:rsidRPr="003F40EF">
        <w:rPr>
          <w:rFonts w:ascii="Arial" w:hAnsi="Arial" w:cs="Arial"/>
          <w:iCs/>
          <w:lang w:val="fr-FR"/>
        </w:rPr>
        <w:t>Le chiffre d'affaires total du commerce électronique en Afrique du Sud, toutes catégories de produits confondu</w:t>
      </w:r>
      <w:r w:rsidR="00DA1A2D" w:rsidRPr="003F40EF">
        <w:rPr>
          <w:rFonts w:ascii="Arial" w:hAnsi="Arial" w:cs="Arial"/>
          <w:iCs/>
          <w:lang w:val="fr-FR"/>
        </w:rPr>
        <w:t>es, s'élève à 2,69 milliards de dollars américains</w:t>
      </w:r>
      <w:r w:rsidRPr="003F40EF">
        <w:rPr>
          <w:rFonts w:ascii="Arial" w:hAnsi="Arial" w:cs="Arial"/>
          <w:iCs/>
          <w:lang w:val="fr-FR"/>
        </w:rPr>
        <w:t xml:space="preserve"> et dev</w:t>
      </w:r>
      <w:r w:rsidR="00DA1A2D" w:rsidRPr="003F40EF">
        <w:rPr>
          <w:rFonts w:ascii="Arial" w:hAnsi="Arial" w:cs="Arial"/>
          <w:iCs/>
          <w:lang w:val="fr-FR"/>
        </w:rPr>
        <w:t>rait atteindre 4,7 milliards</w:t>
      </w:r>
      <w:r w:rsidRPr="003F40EF">
        <w:rPr>
          <w:rFonts w:ascii="Arial" w:hAnsi="Arial" w:cs="Arial"/>
          <w:iCs/>
          <w:lang w:val="fr-FR"/>
        </w:rPr>
        <w:t xml:space="preserve"> d'ici 2021. L'électronique et les médias est actuellement la première catégorie de produits en Afrique du Sud, avec une part d</w:t>
      </w:r>
      <w:r w:rsidR="00DA1A2D" w:rsidRPr="003F40EF">
        <w:rPr>
          <w:rFonts w:ascii="Arial" w:hAnsi="Arial" w:cs="Arial"/>
          <w:iCs/>
          <w:lang w:val="fr-FR"/>
        </w:rPr>
        <w:t>e marché de 964,2 millions de dollars américains</w:t>
      </w:r>
      <w:r w:rsidRPr="003F40EF">
        <w:rPr>
          <w:rFonts w:ascii="Arial" w:hAnsi="Arial" w:cs="Arial"/>
          <w:iCs/>
          <w:lang w:val="fr-FR"/>
        </w:rPr>
        <w:t>, suivie par les meubles et appareils électroménagers, q</w:t>
      </w:r>
      <w:r w:rsidR="00DA1A2D" w:rsidRPr="003F40EF">
        <w:rPr>
          <w:rFonts w:ascii="Arial" w:hAnsi="Arial" w:cs="Arial"/>
          <w:iCs/>
          <w:lang w:val="fr-FR"/>
        </w:rPr>
        <w:t>ui génèrent 553,7 millions de dollars américains</w:t>
      </w:r>
      <w:r w:rsidRPr="003F40EF">
        <w:rPr>
          <w:rFonts w:ascii="Arial" w:hAnsi="Arial" w:cs="Arial"/>
          <w:iCs/>
          <w:lang w:val="fr-FR"/>
        </w:rPr>
        <w:t xml:space="preserve"> de chiffre d'affaires.</w:t>
      </w:r>
    </w:p>
    <w:p w:rsidR="009B6921" w:rsidRPr="003F40EF" w:rsidRDefault="009B6921" w:rsidP="009B6921">
      <w:pPr>
        <w:shd w:val="clear" w:color="auto" w:fill="FFFFFF"/>
        <w:suppressAutoHyphens/>
        <w:spacing w:after="384" w:line="408" w:lineRule="atLeast"/>
        <w:jc w:val="both"/>
        <w:textAlignment w:val="baseline"/>
        <w:rPr>
          <w:rFonts w:ascii="Arial" w:hAnsi="Arial" w:cs="Arial"/>
          <w:iCs/>
          <w:lang w:val="fr-FR"/>
        </w:rPr>
      </w:pPr>
      <w:r w:rsidRPr="003F40EF">
        <w:rPr>
          <w:rFonts w:ascii="Arial" w:hAnsi="Arial" w:cs="Arial"/>
          <w:iCs/>
          <w:noProof/>
          <w:lang w:val="fr-FR"/>
        </w:rPr>
        <w:drawing>
          <wp:inline distT="0" distB="0" distL="0" distR="0" wp14:anchorId="18B3D6E6" wp14:editId="46480521">
            <wp:extent cx="5731510" cy="29946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th-Africa-Revenue-2.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994660"/>
                    </a:xfrm>
                    <a:prstGeom prst="rect">
                      <a:avLst/>
                    </a:prstGeom>
                  </pic:spPr>
                </pic:pic>
              </a:graphicData>
            </a:graphic>
          </wp:inline>
        </w:drawing>
      </w:r>
    </w:p>
    <w:p w:rsidR="009B6921" w:rsidRPr="003F40EF" w:rsidRDefault="00355A80" w:rsidP="00D8431F">
      <w:pPr>
        <w:pStyle w:val="ListParagraph"/>
        <w:numPr>
          <w:ilvl w:val="0"/>
          <w:numId w:val="2"/>
        </w:numPr>
        <w:spacing w:before="240"/>
        <w:ind w:hanging="720"/>
        <w:contextualSpacing w:val="0"/>
        <w:rPr>
          <w:rFonts w:ascii="Arial" w:hAnsi="Arial" w:cs="Arial"/>
          <w:b/>
          <w:sz w:val="23"/>
          <w:szCs w:val="23"/>
          <w:lang w:val="fr-FR"/>
        </w:rPr>
      </w:pPr>
      <w:r w:rsidRPr="003F40EF">
        <w:rPr>
          <w:rFonts w:ascii="Arial" w:hAnsi="Arial" w:cs="Arial"/>
          <w:b/>
          <w:sz w:val="23"/>
          <w:szCs w:val="23"/>
          <w:lang w:val="fr-FR"/>
        </w:rPr>
        <w:t>Lien entre le e-commerce et les disciplines réglementaires sur les services postaux et de courrier</w:t>
      </w:r>
      <w:r w:rsidR="009B6921" w:rsidRPr="003F40EF">
        <w:rPr>
          <w:rFonts w:ascii="Arial" w:hAnsi="Arial" w:cs="Arial"/>
          <w:b/>
          <w:sz w:val="23"/>
          <w:szCs w:val="23"/>
          <w:lang w:val="fr-FR"/>
        </w:rPr>
        <w:t xml:space="preserve"> </w:t>
      </w:r>
    </w:p>
    <w:p w:rsidR="00DA1A2D" w:rsidRPr="003F40EF" w:rsidRDefault="00DA1A2D" w:rsidP="00DA1A2D">
      <w:pPr>
        <w:spacing w:before="240" w:line="276" w:lineRule="auto"/>
        <w:jc w:val="both"/>
        <w:rPr>
          <w:rFonts w:ascii="Arial" w:hAnsi="Arial" w:cs="Arial"/>
          <w:iCs/>
          <w:lang w:val="fr-FR"/>
        </w:rPr>
      </w:pPr>
      <w:r w:rsidRPr="003F40EF">
        <w:rPr>
          <w:rFonts w:ascii="Arial" w:hAnsi="Arial" w:cs="Arial"/>
          <w:iCs/>
          <w:lang w:val="fr-FR"/>
        </w:rPr>
        <w:t xml:space="preserve">Les liens commerciaux entre les services postaux et de </w:t>
      </w:r>
      <w:r w:rsidR="008C4E2D" w:rsidRPr="003F40EF">
        <w:rPr>
          <w:rFonts w:ascii="Arial" w:hAnsi="Arial" w:cs="Arial"/>
          <w:iCs/>
          <w:lang w:val="fr-FR"/>
        </w:rPr>
        <w:t>courrier</w:t>
      </w:r>
      <w:r w:rsidRPr="003F40EF">
        <w:rPr>
          <w:rFonts w:ascii="Arial" w:hAnsi="Arial" w:cs="Arial"/>
          <w:iCs/>
          <w:lang w:val="fr-FR"/>
        </w:rPr>
        <w:t xml:space="preserve"> et les marchés mondiaux du commerce él</w:t>
      </w:r>
      <w:r w:rsidR="008C4E2D" w:rsidRPr="003F40EF">
        <w:rPr>
          <w:rFonts w:ascii="Arial" w:hAnsi="Arial" w:cs="Arial"/>
          <w:iCs/>
          <w:lang w:val="fr-FR"/>
        </w:rPr>
        <w:t>ectronique ne font aucun doute.</w:t>
      </w:r>
      <w:r w:rsidRPr="003F40EF">
        <w:rPr>
          <w:rFonts w:ascii="Arial" w:hAnsi="Arial" w:cs="Arial"/>
          <w:iCs/>
          <w:lang w:val="fr-FR"/>
        </w:rPr>
        <w:t xml:space="preserve"> Les entreprises offrant la fourniture en ligne de biens de consommation ont besoin de services postaux et de </w:t>
      </w:r>
      <w:r w:rsidR="008C4E2D" w:rsidRPr="003F40EF">
        <w:rPr>
          <w:rFonts w:ascii="Arial" w:hAnsi="Arial" w:cs="Arial"/>
          <w:iCs/>
          <w:lang w:val="fr-FR"/>
        </w:rPr>
        <w:t>courrier</w:t>
      </w:r>
      <w:r w:rsidRPr="003F40EF">
        <w:rPr>
          <w:rFonts w:ascii="Arial" w:hAnsi="Arial" w:cs="Arial"/>
          <w:iCs/>
          <w:lang w:val="fr-FR"/>
        </w:rPr>
        <w:t xml:space="preserve"> pour livrer ces biens </w:t>
      </w:r>
      <w:r w:rsidRPr="003F40EF">
        <w:rPr>
          <w:rFonts w:ascii="Arial" w:hAnsi="Arial" w:cs="Arial"/>
          <w:iCs/>
          <w:lang w:val="fr-FR"/>
        </w:rPr>
        <w:lastRenderedPageBreak/>
        <w:t>aux co</w:t>
      </w:r>
      <w:r w:rsidR="008C4E2D" w:rsidRPr="003F40EF">
        <w:rPr>
          <w:rFonts w:ascii="Arial" w:hAnsi="Arial" w:cs="Arial"/>
          <w:iCs/>
          <w:lang w:val="fr-FR"/>
        </w:rPr>
        <w:t>nsommateurs qui les commandent.</w:t>
      </w:r>
      <w:r w:rsidRPr="003F40EF">
        <w:rPr>
          <w:rFonts w:ascii="Arial" w:hAnsi="Arial" w:cs="Arial"/>
          <w:iCs/>
          <w:lang w:val="fr-FR"/>
        </w:rPr>
        <w:t xml:space="preserve"> Il est clair que cette forme de commerce exercera une pression croissante sur les détaillants traditionnels.  </w:t>
      </w:r>
    </w:p>
    <w:p w:rsidR="00DA1A2D" w:rsidRPr="003F40EF" w:rsidRDefault="00DA1A2D" w:rsidP="003E6A96">
      <w:pPr>
        <w:spacing w:before="240" w:line="276" w:lineRule="auto"/>
        <w:jc w:val="both"/>
        <w:rPr>
          <w:rFonts w:ascii="Arial" w:hAnsi="Arial" w:cs="Arial"/>
          <w:iCs/>
          <w:lang w:val="fr-FR"/>
        </w:rPr>
      </w:pPr>
      <w:r w:rsidRPr="003F40EF">
        <w:rPr>
          <w:rFonts w:ascii="Arial" w:hAnsi="Arial" w:cs="Arial"/>
          <w:iCs/>
          <w:lang w:val="fr-FR"/>
        </w:rPr>
        <w:t xml:space="preserve">Le projet d'annexe s'inspire d'une étude de base de la SADC sur les services postaux et </w:t>
      </w:r>
      <w:r w:rsidR="008C4E2D" w:rsidRPr="003F40EF">
        <w:rPr>
          <w:rFonts w:ascii="Arial" w:hAnsi="Arial" w:cs="Arial"/>
          <w:iCs/>
          <w:lang w:val="fr-FR"/>
        </w:rPr>
        <w:t>de courrier</w:t>
      </w:r>
      <w:r w:rsidRPr="003F40EF">
        <w:rPr>
          <w:rFonts w:ascii="Arial" w:hAnsi="Arial" w:cs="Arial"/>
          <w:iCs/>
          <w:lang w:val="fr-FR"/>
        </w:rPr>
        <w:t>, en 2012, qui a mis en évidence la nécessité de relever les défis réglementaires auxquels sont confrontés les opérateurs du secteur. Étant donné que le protocole de la SADC sur les transports, les communications et la météorologie (TCM), auquel tous les États membres ne sont pas parties, contient un accord sur la coopération politique et réglementaire dans les services postaux, l'étude a proposé l'élaboration d'une annexe au protocole sur le commerce des services (PTiS) axée sur des disciplines réglementaires favorables au commerce. Le premier groupe de discussion sectoriel sur les services de communication dans le cadre du TNF</w:t>
      </w:r>
      <w:r w:rsidR="008C4E2D" w:rsidRPr="003F40EF">
        <w:rPr>
          <w:rFonts w:ascii="Arial" w:hAnsi="Arial" w:cs="Arial"/>
          <w:iCs/>
          <w:lang w:val="fr-FR"/>
        </w:rPr>
        <w:t>-services</w:t>
      </w:r>
      <w:r w:rsidRPr="003F40EF">
        <w:rPr>
          <w:rFonts w:ascii="Arial" w:hAnsi="Arial" w:cs="Arial"/>
          <w:iCs/>
          <w:lang w:val="fr-FR"/>
        </w:rPr>
        <w:t xml:space="preserve"> a convenu d'élaborer une annexe sur les services postaux et </w:t>
      </w:r>
      <w:r w:rsidR="008C4E2D" w:rsidRPr="003F40EF">
        <w:rPr>
          <w:rFonts w:ascii="Arial" w:hAnsi="Arial" w:cs="Arial"/>
          <w:iCs/>
          <w:lang w:val="fr-FR"/>
        </w:rPr>
        <w:t>de courrier</w:t>
      </w:r>
      <w:r w:rsidRPr="003F40EF">
        <w:rPr>
          <w:rFonts w:ascii="Arial" w:hAnsi="Arial" w:cs="Arial"/>
          <w:iCs/>
          <w:lang w:val="fr-FR"/>
        </w:rPr>
        <w:t xml:space="preserve"> qui était distincte des télécommunications. Un projet de texte a donc été élaboré sur la base des principes énoncés dans le document de référence de l'OMC sur les services de télécommunication de base et les besoins </w:t>
      </w:r>
      <w:r w:rsidR="008C4E2D" w:rsidRPr="003F40EF">
        <w:rPr>
          <w:rFonts w:ascii="Arial" w:hAnsi="Arial" w:cs="Arial"/>
          <w:iCs/>
          <w:lang w:val="fr-FR"/>
        </w:rPr>
        <w:t xml:space="preserve">commerciaux </w:t>
      </w:r>
      <w:r w:rsidRPr="003F40EF">
        <w:rPr>
          <w:rFonts w:ascii="Arial" w:hAnsi="Arial" w:cs="Arial"/>
          <w:iCs/>
          <w:lang w:val="fr-FR"/>
        </w:rPr>
        <w:t xml:space="preserve">régionaux. </w:t>
      </w:r>
    </w:p>
    <w:p w:rsidR="00574FEB" w:rsidRPr="003F40EF" w:rsidRDefault="00574FEB" w:rsidP="00574FEB">
      <w:pPr>
        <w:spacing w:line="276" w:lineRule="auto"/>
        <w:jc w:val="both"/>
        <w:rPr>
          <w:rFonts w:ascii="Arial" w:hAnsi="Arial" w:cs="Arial"/>
          <w:lang w:val="fr-FR"/>
        </w:rPr>
      </w:pPr>
      <w:r w:rsidRPr="003F40EF">
        <w:rPr>
          <w:rFonts w:ascii="Arial" w:hAnsi="Arial" w:cs="Arial"/>
          <w:lang w:val="fr-FR"/>
        </w:rPr>
        <w:t xml:space="preserve">Les dispositions du projet d'annexe sont fondées sur les obligations générales du PTiS, l'objectif étant d'établir des disciplines commerciales claires dans la réglementation des services postaux et des services </w:t>
      </w:r>
      <w:r w:rsidR="008C4E2D" w:rsidRPr="003F40EF">
        <w:rPr>
          <w:rFonts w:ascii="Arial" w:hAnsi="Arial" w:cs="Arial"/>
          <w:lang w:val="fr-FR"/>
        </w:rPr>
        <w:t>de courrier (voir appendice 1).</w:t>
      </w:r>
      <w:r w:rsidRPr="003F40EF">
        <w:rPr>
          <w:rFonts w:ascii="Arial" w:hAnsi="Arial" w:cs="Arial"/>
          <w:lang w:val="fr-FR"/>
        </w:rPr>
        <w:t xml:space="preserve"> Les principes sous-jacents sont expliqués comme suit : </w:t>
      </w:r>
    </w:p>
    <w:p w:rsidR="00574FEB" w:rsidRPr="003F40EF" w:rsidRDefault="00574FEB" w:rsidP="00C90A14">
      <w:pPr>
        <w:pStyle w:val="ListParagraph"/>
        <w:numPr>
          <w:ilvl w:val="0"/>
          <w:numId w:val="19"/>
        </w:numPr>
        <w:jc w:val="both"/>
        <w:rPr>
          <w:rFonts w:ascii="Arial" w:hAnsi="Arial" w:cs="Arial"/>
          <w:lang w:val="fr-FR"/>
        </w:rPr>
      </w:pPr>
      <w:r w:rsidRPr="003F40EF">
        <w:rPr>
          <w:rFonts w:ascii="Arial" w:hAnsi="Arial" w:cs="Arial"/>
          <w:b/>
          <w:i/>
          <w:lang w:val="fr-FR"/>
        </w:rPr>
        <w:t>Pratiques anticoncurrentielles</w:t>
      </w:r>
      <w:r w:rsidRPr="003F40EF">
        <w:rPr>
          <w:rFonts w:ascii="Arial" w:hAnsi="Arial" w:cs="Arial"/>
          <w:lang w:val="fr-FR"/>
        </w:rPr>
        <w:t xml:space="preserve"> - Les États membres doivent maintenir ou introduire des mesures appropriées pour prévenir les abus de position sur le marché parmi les prestataires de services postaux et </w:t>
      </w:r>
      <w:r w:rsidR="008C4E2D" w:rsidRPr="003F40EF">
        <w:rPr>
          <w:rFonts w:ascii="Arial" w:hAnsi="Arial" w:cs="Arial"/>
          <w:lang w:val="fr-FR"/>
        </w:rPr>
        <w:t>de courrier</w:t>
      </w:r>
      <w:r w:rsidRPr="003F40EF">
        <w:rPr>
          <w:rFonts w:ascii="Arial" w:hAnsi="Arial" w:cs="Arial"/>
          <w:lang w:val="fr-FR"/>
        </w:rPr>
        <w:t xml:space="preserve"> en s'engageant dans des pratiques commerciales anticoncurrentielles ou en continuant à le faire. </w:t>
      </w:r>
    </w:p>
    <w:p w:rsidR="00574FEB" w:rsidRPr="003F40EF" w:rsidRDefault="00574FEB" w:rsidP="00C90A14">
      <w:pPr>
        <w:pStyle w:val="ListParagraph"/>
        <w:numPr>
          <w:ilvl w:val="0"/>
          <w:numId w:val="19"/>
        </w:numPr>
        <w:jc w:val="both"/>
        <w:rPr>
          <w:rFonts w:ascii="Arial" w:hAnsi="Arial" w:cs="Arial"/>
          <w:lang w:val="fr-FR"/>
        </w:rPr>
      </w:pPr>
      <w:r w:rsidRPr="003F40EF">
        <w:rPr>
          <w:rFonts w:ascii="Arial" w:hAnsi="Arial" w:cs="Arial"/>
          <w:b/>
          <w:i/>
          <w:lang w:val="fr-FR"/>
        </w:rPr>
        <w:t>Service universel</w:t>
      </w:r>
      <w:r w:rsidRPr="003F40EF">
        <w:rPr>
          <w:rFonts w:ascii="Arial" w:hAnsi="Arial" w:cs="Arial"/>
          <w:lang w:val="fr-FR"/>
        </w:rPr>
        <w:t xml:space="preserve"> - Réaffirmer le droit d'un État membre de définir les obligations de service universel qu'il souhaite maintenir tout en assurant l'objectivité, la transparence et la non-discrimination dans l'application.  </w:t>
      </w:r>
    </w:p>
    <w:p w:rsidR="00574FEB" w:rsidRPr="003F40EF" w:rsidRDefault="00574FEB" w:rsidP="00C90A14">
      <w:pPr>
        <w:pStyle w:val="ListParagraph"/>
        <w:numPr>
          <w:ilvl w:val="0"/>
          <w:numId w:val="19"/>
        </w:numPr>
        <w:jc w:val="both"/>
        <w:rPr>
          <w:rFonts w:ascii="Arial" w:hAnsi="Arial" w:cs="Arial"/>
          <w:lang w:val="fr-FR"/>
        </w:rPr>
      </w:pPr>
      <w:r w:rsidRPr="003F40EF">
        <w:rPr>
          <w:rFonts w:ascii="Arial" w:hAnsi="Arial" w:cs="Arial"/>
          <w:b/>
          <w:i/>
          <w:lang w:val="fr-FR"/>
        </w:rPr>
        <w:t>Licences individuelles</w:t>
      </w:r>
      <w:r w:rsidRPr="003F40EF">
        <w:rPr>
          <w:rFonts w:ascii="Arial" w:hAnsi="Arial" w:cs="Arial"/>
          <w:lang w:val="fr-FR"/>
        </w:rPr>
        <w:t xml:space="preserve"> - </w:t>
      </w:r>
      <w:r w:rsidR="00C90A14" w:rsidRPr="003F40EF">
        <w:rPr>
          <w:rFonts w:ascii="Arial" w:hAnsi="Arial" w:cs="Arial"/>
          <w:lang w:val="fr-FR"/>
        </w:rPr>
        <w:t>Li</w:t>
      </w:r>
      <w:r w:rsidRPr="003F40EF">
        <w:rPr>
          <w:rFonts w:ascii="Arial" w:hAnsi="Arial" w:cs="Arial"/>
          <w:lang w:val="fr-FR"/>
        </w:rPr>
        <w:t xml:space="preserve">mitation de l'exigence de licences individuelles pour la fourniture de services dans le </w:t>
      </w:r>
      <w:r w:rsidR="00C90A14" w:rsidRPr="003F40EF">
        <w:rPr>
          <w:rFonts w:ascii="Arial" w:hAnsi="Arial" w:cs="Arial"/>
          <w:lang w:val="fr-FR"/>
        </w:rPr>
        <w:t>cadre du service universel. Cela</w:t>
      </w:r>
      <w:r w:rsidRPr="003F40EF">
        <w:rPr>
          <w:rFonts w:ascii="Arial" w:hAnsi="Arial" w:cs="Arial"/>
          <w:lang w:val="fr-FR"/>
        </w:rPr>
        <w:t xml:space="preserve"> préconise la publication de critères, de termes et conditions ainsi que des procédures d'octroi de licences transparentes et non discriminatoires. </w:t>
      </w:r>
    </w:p>
    <w:p w:rsidR="00574FEB" w:rsidRPr="003F40EF" w:rsidRDefault="00574FEB" w:rsidP="00C90A14">
      <w:pPr>
        <w:pStyle w:val="ListParagraph"/>
        <w:numPr>
          <w:ilvl w:val="0"/>
          <w:numId w:val="19"/>
        </w:numPr>
        <w:jc w:val="both"/>
        <w:rPr>
          <w:rFonts w:ascii="Arial" w:hAnsi="Arial" w:cs="Arial"/>
          <w:lang w:val="fr-FR"/>
        </w:rPr>
      </w:pPr>
      <w:r w:rsidRPr="003F40EF">
        <w:rPr>
          <w:rFonts w:ascii="Arial" w:hAnsi="Arial" w:cs="Arial"/>
          <w:b/>
          <w:i/>
          <w:lang w:val="fr-FR"/>
        </w:rPr>
        <w:t>Organisme de réglementation</w:t>
      </w:r>
      <w:r w:rsidR="00C90A14" w:rsidRPr="003F40EF">
        <w:rPr>
          <w:rFonts w:ascii="Arial" w:hAnsi="Arial" w:cs="Arial"/>
          <w:lang w:val="fr-FR"/>
        </w:rPr>
        <w:t xml:space="preserve"> - V</w:t>
      </w:r>
      <w:r w:rsidRPr="003F40EF">
        <w:rPr>
          <w:rFonts w:ascii="Arial" w:hAnsi="Arial" w:cs="Arial"/>
          <w:lang w:val="fr-FR"/>
        </w:rPr>
        <w:t xml:space="preserve">isant à atteindre l'autonomie ou l'indépendance des organismes de réglementation. Il faut séparer le rôle de réglementation de la prestation de services en s'assurant que les organismes de réglementation sont distincts et qu'ils n'ont de comptes à rendre à aucun fournisseur de services postaux et </w:t>
      </w:r>
      <w:r w:rsidR="008C4E2D" w:rsidRPr="003F40EF">
        <w:rPr>
          <w:rFonts w:ascii="Arial" w:hAnsi="Arial" w:cs="Arial"/>
          <w:lang w:val="fr-FR"/>
        </w:rPr>
        <w:t>de courrier</w:t>
      </w:r>
      <w:r w:rsidRPr="003F40EF">
        <w:rPr>
          <w:rFonts w:ascii="Arial" w:hAnsi="Arial" w:cs="Arial"/>
          <w:lang w:val="fr-FR"/>
        </w:rPr>
        <w:t xml:space="preserve">.  </w:t>
      </w:r>
    </w:p>
    <w:p w:rsidR="00CA63A9" w:rsidRPr="003F40EF" w:rsidRDefault="00574FEB" w:rsidP="00C90A14">
      <w:pPr>
        <w:spacing w:line="276" w:lineRule="auto"/>
        <w:jc w:val="both"/>
        <w:rPr>
          <w:rFonts w:ascii="Arial" w:hAnsi="Arial" w:cs="Arial"/>
          <w:sz w:val="23"/>
          <w:szCs w:val="23"/>
          <w:lang w:val="fr-FR"/>
        </w:rPr>
      </w:pPr>
      <w:r w:rsidRPr="003F40EF">
        <w:rPr>
          <w:rFonts w:ascii="Arial" w:hAnsi="Arial" w:cs="Arial"/>
          <w:sz w:val="23"/>
          <w:szCs w:val="23"/>
          <w:lang w:val="fr-FR"/>
        </w:rPr>
        <w:t>Les disciplines de l'annexe visent à assurer la transparence, l'abus de la concentration du marc</w:t>
      </w:r>
      <w:r w:rsidR="00C90A14" w:rsidRPr="003F40EF">
        <w:rPr>
          <w:rFonts w:ascii="Arial" w:hAnsi="Arial" w:cs="Arial"/>
          <w:sz w:val="23"/>
          <w:szCs w:val="23"/>
          <w:lang w:val="fr-FR"/>
        </w:rPr>
        <w:t>hé et la capture réglementaire.</w:t>
      </w:r>
      <w:r w:rsidRPr="003F40EF">
        <w:rPr>
          <w:rFonts w:ascii="Arial" w:hAnsi="Arial" w:cs="Arial"/>
          <w:sz w:val="23"/>
          <w:szCs w:val="23"/>
          <w:lang w:val="fr-FR"/>
        </w:rPr>
        <w:t xml:space="preserve"> Ils s'appuient sur des principes réglementaires que plus de 100 membres de l'OMC ont adoptés dans le secteur des télécommunications et n'abordent pas les questions traitées dans le cadre du programme de travail de l'OMC sur le commerce électronique, ou explorées par un sous-groupe de membres de l'OMC en vue de l'élaboration de futures règles.</w:t>
      </w:r>
      <w:r w:rsidR="00CA63A9" w:rsidRPr="003F40EF">
        <w:rPr>
          <w:rFonts w:ascii="Arial" w:hAnsi="Arial" w:cs="Arial"/>
          <w:sz w:val="23"/>
          <w:szCs w:val="23"/>
          <w:lang w:val="fr-FR"/>
        </w:rPr>
        <w:t xml:space="preserve"> </w:t>
      </w:r>
    </w:p>
    <w:p w:rsidR="00574FEB" w:rsidRPr="003F40EF" w:rsidRDefault="00574FEB" w:rsidP="00CA63A9">
      <w:pPr>
        <w:spacing w:before="240" w:line="276" w:lineRule="auto"/>
        <w:jc w:val="both"/>
        <w:rPr>
          <w:rFonts w:ascii="Arial" w:hAnsi="Arial" w:cs="Arial"/>
          <w:sz w:val="23"/>
          <w:szCs w:val="23"/>
          <w:lang w:val="fr-FR"/>
        </w:rPr>
      </w:pPr>
      <w:r w:rsidRPr="003F40EF">
        <w:rPr>
          <w:rFonts w:ascii="Arial" w:hAnsi="Arial" w:cs="Arial"/>
          <w:sz w:val="23"/>
          <w:szCs w:val="23"/>
          <w:lang w:val="fr-FR"/>
        </w:rPr>
        <w:t xml:space="preserve">Le tableau 1 montre les régimes actuellement appliqués par les États membres en ce qui concerne les obligations du projet d'annexe sur les services postaux et </w:t>
      </w:r>
      <w:r w:rsidR="008C4E2D" w:rsidRPr="003F40EF">
        <w:rPr>
          <w:rFonts w:ascii="Arial" w:hAnsi="Arial" w:cs="Arial"/>
          <w:sz w:val="23"/>
          <w:szCs w:val="23"/>
          <w:lang w:val="fr-FR"/>
        </w:rPr>
        <w:t>de courrier</w:t>
      </w:r>
      <w:r w:rsidR="00C90A14" w:rsidRPr="003F40EF">
        <w:rPr>
          <w:rFonts w:ascii="Arial" w:hAnsi="Arial" w:cs="Arial"/>
          <w:sz w:val="23"/>
          <w:szCs w:val="23"/>
          <w:lang w:val="fr-FR"/>
        </w:rPr>
        <w:t>.</w:t>
      </w:r>
      <w:r w:rsidRPr="003F40EF">
        <w:rPr>
          <w:rFonts w:ascii="Arial" w:hAnsi="Arial" w:cs="Arial"/>
          <w:sz w:val="23"/>
          <w:szCs w:val="23"/>
          <w:lang w:val="fr-FR"/>
        </w:rPr>
        <w:t xml:space="preserve"> D'une manière générale, la plupart d'entre eux semblent déjà conformes aux obligations </w:t>
      </w:r>
      <w:r w:rsidRPr="003F40EF">
        <w:rPr>
          <w:rFonts w:ascii="Arial" w:hAnsi="Arial" w:cs="Arial"/>
          <w:sz w:val="23"/>
          <w:szCs w:val="23"/>
          <w:lang w:val="fr-FR"/>
        </w:rPr>
        <w:lastRenderedPageBreak/>
        <w:t>énoncées dans le projet d'annexe et n'auraient pas besoin de modifier leur régime actuel aux fins de la mise en œuvre.</w:t>
      </w:r>
    </w:p>
    <w:p w:rsidR="00CA63A9" w:rsidRPr="003F40EF" w:rsidRDefault="00CA63A9" w:rsidP="00CA63A9">
      <w:pPr>
        <w:spacing w:before="240" w:line="276" w:lineRule="auto"/>
        <w:jc w:val="both"/>
        <w:rPr>
          <w:rFonts w:ascii="Arial" w:hAnsi="Arial" w:cs="Arial"/>
          <w:sz w:val="23"/>
          <w:szCs w:val="23"/>
          <w:lang w:val="fr-FR"/>
        </w:rPr>
        <w:sectPr w:rsidR="00CA63A9" w:rsidRPr="003F40EF">
          <w:headerReference w:type="default" r:id="rId11"/>
          <w:footerReference w:type="default" r:id="rId12"/>
          <w:pgSz w:w="11906" w:h="16838"/>
          <w:pgMar w:top="1440" w:right="1440" w:bottom="1440" w:left="1440" w:header="720" w:footer="720" w:gutter="0"/>
          <w:cols w:space="720"/>
          <w:docGrid w:linePitch="360"/>
        </w:sectPr>
      </w:pPr>
      <w:r w:rsidRPr="003F40EF">
        <w:rPr>
          <w:rFonts w:ascii="Arial" w:hAnsi="Arial" w:cs="Arial"/>
          <w:sz w:val="23"/>
          <w:szCs w:val="23"/>
          <w:lang w:val="fr-FR"/>
        </w:rPr>
        <w:t xml:space="preserve">  </w:t>
      </w:r>
    </w:p>
    <w:p w:rsidR="00CA63A9" w:rsidRPr="003F40EF" w:rsidRDefault="00CA63A9" w:rsidP="00CA63A9">
      <w:pPr>
        <w:jc w:val="center"/>
        <w:rPr>
          <w:b/>
          <w:sz w:val="23"/>
          <w:szCs w:val="23"/>
          <w:lang w:val="fr-FR"/>
        </w:rPr>
      </w:pPr>
      <w:r w:rsidRPr="003F40EF">
        <w:rPr>
          <w:b/>
          <w:sz w:val="23"/>
          <w:szCs w:val="23"/>
          <w:lang w:val="fr-FR"/>
        </w:rPr>
        <w:lastRenderedPageBreak/>
        <w:t>Table</w:t>
      </w:r>
      <w:r w:rsidR="00355A80" w:rsidRPr="003F40EF">
        <w:rPr>
          <w:b/>
          <w:sz w:val="23"/>
          <w:szCs w:val="23"/>
          <w:lang w:val="fr-FR"/>
        </w:rPr>
        <w:t>au</w:t>
      </w:r>
      <w:r w:rsidRPr="003F40EF">
        <w:rPr>
          <w:b/>
          <w:sz w:val="23"/>
          <w:szCs w:val="23"/>
          <w:lang w:val="fr-FR"/>
        </w:rPr>
        <w:t xml:space="preserve"> 1: </w:t>
      </w:r>
      <w:r w:rsidR="00355A80" w:rsidRPr="003F40EF">
        <w:rPr>
          <w:b/>
          <w:sz w:val="23"/>
          <w:szCs w:val="23"/>
          <w:lang w:val="fr-FR"/>
        </w:rPr>
        <w:t xml:space="preserve">Régime des Etats membres appliqué sur les obligations du projet d’annexe </w:t>
      </w:r>
    </w:p>
    <w:tbl>
      <w:tblPr>
        <w:tblStyle w:val="TableGrid"/>
        <w:tblW w:w="15030" w:type="dxa"/>
        <w:tblInd w:w="-635" w:type="dxa"/>
        <w:tblLook w:val="04A0" w:firstRow="1" w:lastRow="0" w:firstColumn="1" w:lastColumn="0" w:noHBand="0" w:noVBand="1"/>
      </w:tblPr>
      <w:tblGrid>
        <w:gridCol w:w="1710"/>
        <w:gridCol w:w="3665"/>
        <w:gridCol w:w="3355"/>
        <w:gridCol w:w="3330"/>
        <w:gridCol w:w="2970"/>
      </w:tblGrid>
      <w:tr w:rsidR="00CA63A9" w:rsidRPr="003F40EF" w:rsidTr="00260E49">
        <w:trPr>
          <w:tblHeader/>
        </w:trPr>
        <w:tc>
          <w:tcPr>
            <w:tcW w:w="1710" w:type="dxa"/>
            <w:shd w:val="clear" w:color="auto" w:fill="D9D9D9" w:themeFill="background1" w:themeFillShade="D9"/>
          </w:tcPr>
          <w:p w:rsidR="00CA63A9" w:rsidRPr="003F40EF" w:rsidRDefault="00355A80" w:rsidP="00CA63A9">
            <w:pPr>
              <w:pStyle w:val="ListParagraph"/>
              <w:spacing w:before="60" w:after="60"/>
              <w:ind w:left="0"/>
              <w:contextualSpacing w:val="0"/>
              <w:jc w:val="both"/>
              <w:rPr>
                <w:rFonts w:ascii="Arial" w:hAnsi="Arial" w:cs="Arial"/>
                <w:b/>
                <w:sz w:val="20"/>
                <w:szCs w:val="20"/>
                <w:lang w:val="fr-FR"/>
              </w:rPr>
            </w:pPr>
            <w:r w:rsidRPr="003F40EF">
              <w:rPr>
                <w:rFonts w:ascii="Arial" w:hAnsi="Arial" w:cs="Arial"/>
                <w:b/>
                <w:sz w:val="20"/>
                <w:szCs w:val="20"/>
                <w:lang w:val="fr-FR"/>
              </w:rPr>
              <w:t>Etats membres</w:t>
            </w:r>
            <w:r w:rsidR="00CA63A9" w:rsidRPr="003F40EF">
              <w:rPr>
                <w:rFonts w:ascii="Arial" w:hAnsi="Arial" w:cs="Arial"/>
                <w:b/>
                <w:sz w:val="20"/>
                <w:szCs w:val="20"/>
                <w:lang w:val="fr-FR"/>
              </w:rPr>
              <w:t xml:space="preserve"> </w:t>
            </w:r>
          </w:p>
        </w:tc>
        <w:tc>
          <w:tcPr>
            <w:tcW w:w="3665" w:type="dxa"/>
            <w:shd w:val="clear" w:color="auto" w:fill="D9D9D9" w:themeFill="background1" w:themeFillShade="D9"/>
          </w:tcPr>
          <w:p w:rsidR="00CA63A9" w:rsidRPr="003F40EF" w:rsidRDefault="00355A80" w:rsidP="00CA63A9">
            <w:pPr>
              <w:pStyle w:val="ListParagraph"/>
              <w:spacing w:before="60" w:after="60"/>
              <w:ind w:left="360"/>
              <w:contextualSpacing w:val="0"/>
              <w:jc w:val="both"/>
              <w:rPr>
                <w:rFonts w:ascii="Arial" w:hAnsi="Arial" w:cs="Arial"/>
                <w:b/>
                <w:sz w:val="20"/>
                <w:szCs w:val="20"/>
                <w:lang w:val="fr-FR"/>
              </w:rPr>
            </w:pPr>
            <w:r w:rsidRPr="003F40EF">
              <w:rPr>
                <w:rFonts w:ascii="Arial" w:hAnsi="Arial" w:cs="Arial"/>
                <w:b/>
                <w:sz w:val="20"/>
                <w:szCs w:val="20"/>
                <w:lang w:val="fr-FR"/>
              </w:rPr>
              <w:t>Concurrence</w:t>
            </w:r>
          </w:p>
        </w:tc>
        <w:tc>
          <w:tcPr>
            <w:tcW w:w="3355" w:type="dxa"/>
            <w:shd w:val="clear" w:color="auto" w:fill="D9D9D9" w:themeFill="background1" w:themeFillShade="D9"/>
          </w:tcPr>
          <w:p w:rsidR="00CA63A9" w:rsidRPr="003F40EF" w:rsidRDefault="00355A80" w:rsidP="00CA63A9">
            <w:pPr>
              <w:pStyle w:val="ListParagraph"/>
              <w:spacing w:before="60" w:after="60"/>
              <w:ind w:left="360"/>
              <w:contextualSpacing w:val="0"/>
              <w:jc w:val="both"/>
              <w:rPr>
                <w:rFonts w:ascii="Arial" w:hAnsi="Arial" w:cs="Arial"/>
                <w:b/>
                <w:sz w:val="20"/>
                <w:szCs w:val="20"/>
                <w:lang w:val="fr-FR"/>
              </w:rPr>
            </w:pPr>
            <w:r w:rsidRPr="003F40EF">
              <w:rPr>
                <w:rFonts w:ascii="Arial" w:hAnsi="Arial" w:cs="Arial"/>
                <w:b/>
                <w:sz w:val="20"/>
                <w:szCs w:val="20"/>
                <w:lang w:val="fr-FR"/>
              </w:rPr>
              <w:t>O</w:t>
            </w:r>
            <w:r w:rsidR="00CA63A9" w:rsidRPr="003F40EF">
              <w:rPr>
                <w:rFonts w:ascii="Arial" w:hAnsi="Arial" w:cs="Arial"/>
                <w:b/>
                <w:sz w:val="20"/>
                <w:szCs w:val="20"/>
                <w:lang w:val="fr-FR"/>
              </w:rPr>
              <w:t xml:space="preserve">bligation </w:t>
            </w:r>
            <w:r w:rsidRPr="003F40EF">
              <w:rPr>
                <w:rFonts w:ascii="Arial" w:hAnsi="Arial" w:cs="Arial"/>
                <w:b/>
                <w:sz w:val="20"/>
                <w:szCs w:val="20"/>
                <w:lang w:val="fr-FR"/>
              </w:rPr>
              <w:t>de service universel</w:t>
            </w:r>
            <w:r w:rsidR="00CA63A9" w:rsidRPr="003F40EF">
              <w:rPr>
                <w:rFonts w:ascii="Arial" w:hAnsi="Arial" w:cs="Arial"/>
                <w:b/>
                <w:sz w:val="20"/>
                <w:szCs w:val="20"/>
                <w:lang w:val="fr-FR"/>
              </w:rPr>
              <w:t xml:space="preserve">  </w:t>
            </w:r>
          </w:p>
        </w:tc>
        <w:tc>
          <w:tcPr>
            <w:tcW w:w="3330" w:type="dxa"/>
            <w:shd w:val="clear" w:color="auto" w:fill="D9D9D9" w:themeFill="background1" w:themeFillShade="D9"/>
          </w:tcPr>
          <w:p w:rsidR="00CA63A9" w:rsidRPr="003F40EF" w:rsidRDefault="00355A80" w:rsidP="00CA63A9">
            <w:pPr>
              <w:pStyle w:val="ListParagraph"/>
              <w:spacing w:before="60" w:after="60"/>
              <w:ind w:left="360"/>
              <w:contextualSpacing w:val="0"/>
              <w:jc w:val="both"/>
              <w:rPr>
                <w:rFonts w:ascii="Arial" w:hAnsi="Arial" w:cs="Arial"/>
                <w:b/>
                <w:sz w:val="20"/>
                <w:szCs w:val="20"/>
                <w:lang w:val="fr-FR"/>
              </w:rPr>
            </w:pPr>
            <w:r w:rsidRPr="003F40EF">
              <w:rPr>
                <w:rFonts w:ascii="Arial" w:hAnsi="Arial" w:cs="Arial"/>
                <w:b/>
                <w:sz w:val="20"/>
                <w:szCs w:val="20"/>
                <w:lang w:val="fr-FR"/>
              </w:rPr>
              <w:t>Li</w:t>
            </w:r>
            <w:r w:rsidR="00CA63A9" w:rsidRPr="003F40EF">
              <w:rPr>
                <w:rFonts w:ascii="Arial" w:hAnsi="Arial" w:cs="Arial"/>
                <w:b/>
                <w:sz w:val="20"/>
                <w:szCs w:val="20"/>
                <w:lang w:val="fr-FR"/>
              </w:rPr>
              <w:t xml:space="preserve">cence </w:t>
            </w:r>
            <w:r w:rsidRPr="003F40EF">
              <w:rPr>
                <w:rFonts w:ascii="Arial" w:hAnsi="Arial" w:cs="Arial"/>
                <w:b/>
                <w:sz w:val="20"/>
                <w:szCs w:val="20"/>
                <w:lang w:val="fr-FR"/>
              </w:rPr>
              <w:t>individuelle</w:t>
            </w:r>
          </w:p>
        </w:tc>
        <w:tc>
          <w:tcPr>
            <w:tcW w:w="2970" w:type="dxa"/>
            <w:shd w:val="clear" w:color="auto" w:fill="D9D9D9" w:themeFill="background1" w:themeFillShade="D9"/>
          </w:tcPr>
          <w:p w:rsidR="00CA63A9" w:rsidRPr="003F40EF" w:rsidRDefault="00355A80" w:rsidP="00355A80">
            <w:pPr>
              <w:pStyle w:val="ListParagraph"/>
              <w:spacing w:before="60" w:after="60"/>
              <w:ind w:left="360"/>
              <w:contextualSpacing w:val="0"/>
              <w:jc w:val="both"/>
              <w:rPr>
                <w:rFonts w:ascii="Arial" w:hAnsi="Arial" w:cs="Arial"/>
                <w:b/>
                <w:sz w:val="20"/>
                <w:szCs w:val="20"/>
                <w:lang w:val="fr-FR"/>
              </w:rPr>
            </w:pPr>
            <w:r w:rsidRPr="003F40EF">
              <w:rPr>
                <w:rFonts w:ascii="Arial" w:hAnsi="Arial" w:cs="Arial"/>
                <w:b/>
                <w:sz w:val="20"/>
                <w:szCs w:val="20"/>
                <w:lang w:val="fr-FR"/>
              </w:rPr>
              <w:t>Régulateur indépendan</w:t>
            </w:r>
            <w:r w:rsidR="00CA63A9" w:rsidRPr="003F40EF">
              <w:rPr>
                <w:rFonts w:ascii="Arial" w:hAnsi="Arial" w:cs="Arial"/>
                <w:b/>
                <w:sz w:val="20"/>
                <w:szCs w:val="20"/>
                <w:lang w:val="fr-FR"/>
              </w:rPr>
              <w:t xml:space="preserve">t </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Botswana</w:t>
            </w:r>
          </w:p>
        </w:tc>
        <w:tc>
          <w:tcPr>
            <w:tcW w:w="3665" w:type="dxa"/>
          </w:tcPr>
          <w:p w:rsidR="00CA63A9" w:rsidRPr="003F40EF" w:rsidRDefault="00253ECE" w:rsidP="00CA63A9">
            <w:pPr>
              <w:spacing w:before="60" w:after="60" w:line="276" w:lineRule="auto"/>
              <w:jc w:val="both"/>
              <w:rPr>
                <w:lang w:val="fr-FR"/>
              </w:rPr>
            </w:pPr>
            <w:r w:rsidRPr="003F40EF">
              <w:rPr>
                <w:rFonts w:ascii="Arial" w:hAnsi="Arial" w:cs="Arial"/>
                <w:sz w:val="18"/>
                <w:szCs w:val="18"/>
                <w:lang w:val="fr-FR"/>
              </w:rPr>
              <w:t>La loi sur la concurrence</w:t>
            </w:r>
            <w:r w:rsidRPr="003F40EF">
              <w:rPr>
                <w:lang w:val="fr-FR"/>
              </w:rPr>
              <w:t xml:space="preserve"> No.17 de</w:t>
            </w:r>
            <w:r w:rsidR="00CA63A9" w:rsidRPr="003F40EF">
              <w:rPr>
                <w:lang w:val="fr-FR"/>
              </w:rPr>
              <w:t xml:space="preserve"> 2009</w:t>
            </w:r>
          </w:p>
          <w:p w:rsidR="00CA63A9" w:rsidRPr="003F40EF" w:rsidRDefault="00253ECE" w:rsidP="00CA63A9">
            <w:pPr>
              <w:spacing w:before="60" w:after="60" w:line="276" w:lineRule="auto"/>
              <w:jc w:val="both"/>
              <w:rPr>
                <w:lang w:val="fr-FR"/>
              </w:rPr>
            </w:pPr>
            <w:r w:rsidRPr="003F40EF">
              <w:rPr>
                <w:lang w:val="fr-FR"/>
              </w:rPr>
              <w:t>La loi sur l’autorité réglementaire de la c</w:t>
            </w:r>
            <w:r w:rsidR="00CA63A9" w:rsidRPr="003F40EF">
              <w:rPr>
                <w:lang w:val="fr-FR"/>
              </w:rPr>
              <w:t xml:space="preserve">ommunication </w:t>
            </w:r>
            <w:r w:rsidRPr="003F40EF">
              <w:rPr>
                <w:lang w:val="fr-FR"/>
              </w:rPr>
              <w:t>(CRA)</w:t>
            </w:r>
            <w:r w:rsidR="00CA63A9" w:rsidRPr="003F40EF">
              <w:rPr>
                <w:lang w:val="fr-FR"/>
              </w:rPr>
              <w:t>, 2012:</w:t>
            </w:r>
          </w:p>
          <w:p w:rsidR="00253ECE" w:rsidRPr="003F40EF" w:rsidRDefault="0014370F" w:rsidP="0014370F">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S. 6 L’autorité</w:t>
            </w:r>
            <w:r w:rsidR="00CA63A9" w:rsidRPr="003F40EF">
              <w:rPr>
                <w:rFonts w:ascii="Arial" w:hAnsi="Arial" w:cs="Arial"/>
                <w:sz w:val="18"/>
                <w:szCs w:val="18"/>
                <w:lang w:val="fr-FR"/>
              </w:rPr>
              <w:t xml:space="preserve"> (Botswana CRA -BOCRA) … (c) </w:t>
            </w:r>
            <w:r w:rsidR="00253ECE" w:rsidRPr="003F40EF">
              <w:rPr>
                <w:rFonts w:ascii="Arial" w:hAnsi="Arial" w:cs="Arial"/>
                <w:sz w:val="18"/>
                <w:szCs w:val="18"/>
                <w:lang w:val="fr-FR"/>
              </w:rPr>
              <w:t>surveiller</w:t>
            </w:r>
            <w:r w:rsidRPr="003F40EF">
              <w:rPr>
                <w:rFonts w:ascii="Arial" w:hAnsi="Arial" w:cs="Arial"/>
                <w:sz w:val="18"/>
                <w:szCs w:val="18"/>
                <w:lang w:val="fr-FR"/>
              </w:rPr>
              <w:t>a</w:t>
            </w:r>
            <w:r w:rsidR="00253ECE" w:rsidRPr="003F40EF">
              <w:rPr>
                <w:rFonts w:ascii="Arial" w:hAnsi="Arial" w:cs="Arial"/>
                <w:sz w:val="18"/>
                <w:szCs w:val="18"/>
                <w:lang w:val="fr-FR"/>
              </w:rPr>
              <w:t xml:space="preserve"> la performance des secteurs réglementés en ce qui concerne les niveaux d'investissement, ...., la concurrence, la tarification, les coûts des services, l'efficacité de la production et de la distribution des services et toute autre question décidée par l'Autorité....</w:t>
            </w:r>
          </w:p>
          <w:p w:rsidR="00CA63A9" w:rsidRPr="003F40EF" w:rsidRDefault="00253ECE" w:rsidP="0014370F">
            <w:pPr>
              <w:spacing w:before="60" w:after="60"/>
              <w:ind w:left="76"/>
              <w:jc w:val="both"/>
              <w:rPr>
                <w:rFonts w:ascii="Arial" w:hAnsi="Arial" w:cs="Arial"/>
                <w:sz w:val="18"/>
                <w:szCs w:val="18"/>
                <w:lang w:val="fr-FR"/>
              </w:rPr>
            </w:pPr>
            <w:r w:rsidRPr="003F40EF">
              <w:rPr>
                <w:rFonts w:ascii="Arial" w:hAnsi="Arial" w:cs="Arial"/>
                <w:sz w:val="18"/>
                <w:szCs w:val="18"/>
                <w:lang w:val="fr-FR"/>
              </w:rPr>
              <w:t>S. 89. Le Conseil d'administration renvoie toutes les questions relatives à la concurrence qui peuvent surgir dans le cadre de l'exercice de ses fonctions à la Commission de la concurrence établie en vertu de la Loi sur la concurrence.</w:t>
            </w:r>
          </w:p>
        </w:tc>
        <w:tc>
          <w:tcPr>
            <w:tcW w:w="3355" w:type="dxa"/>
          </w:tcPr>
          <w:p w:rsidR="00CA63A9" w:rsidRPr="003F40EF" w:rsidRDefault="00C90A14"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CRA</w:t>
            </w:r>
            <w:r w:rsidR="00CA63A9" w:rsidRPr="003F40EF">
              <w:rPr>
                <w:rFonts w:ascii="Arial" w:hAnsi="Arial" w:cs="Arial"/>
                <w:sz w:val="18"/>
                <w:szCs w:val="18"/>
                <w:lang w:val="fr-FR"/>
              </w:rPr>
              <w:t xml:space="preserve"> 2012</w:t>
            </w:r>
          </w:p>
          <w:p w:rsidR="00CA63A9" w:rsidRPr="003F40EF" w:rsidRDefault="00CA63A9" w:rsidP="00C90A14">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S.68 - </w:t>
            </w:r>
            <w:r w:rsidR="00C90A14" w:rsidRPr="003F40EF">
              <w:rPr>
                <w:rFonts w:ascii="Arial" w:hAnsi="Arial" w:cs="Arial"/>
                <w:sz w:val="18"/>
                <w:szCs w:val="18"/>
                <w:lang w:val="fr-FR"/>
              </w:rPr>
              <w:t>Définit le service postal universel (SPU) et l'obligation de le placer sous la responsabilité d'un opérateur postal désigné (OPD).</w:t>
            </w:r>
          </w:p>
        </w:tc>
        <w:tc>
          <w:tcPr>
            <w:tcW w:w="3330"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S.67</w:t>
            </w:r>
            <w:r w:rsidR="00C90A14" w:rsidRPr="003F40EF">
              <w:rPr>
                <w:rFonts w:ascii="Arial" w:hAnsi="Arial" w:cs="Arial"/>
                <w:sz w:val="18"/>
                <w:szCs w:val="18"/>
                <w:lang w:val="fr-FR"/>
              </w:rPr>
              <w:t xml:space="preserve"> de la loi sur la réglementation </w:t>
            </w:r>
            <w:r w:rsidRPr="003F40EF">
              <w:rPr>
                <w:rFonts w:ascii="Arial" w:hAnsi="Arial" w:cs="Arial"/>
                <w:sz w:val="18"/>
                <w:szCs w:val="18"/>
                <w:lang w:val="fr-FR"/>
              </w:rPr>
              <w:t xml:space="preserve">CRA 2017 </w:t>
            </w:r>
          </w:p>
          <w:p w:rsidR="00CA63A9" w:rsidRPr="003F40EF" w:rsidRDefault="00C90A14" w:rsidP="00C90A14">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La licence de l’OPD - prévoit la désignation d'un opérateur postal pour le transport des obligations SPU.</w:t>
            </w:r>
          </w:p>
        </w:tc>
        <w:tc>
          <w:tcPr>
            <w:tcW w:w="2970" w:type="dxa"/>
          </w:tcPr>
          <w:p w:rsidR="00CA63A9" w:rsidRPr="003F40EF" w:rsidRDefault="00C90A14" w:rsidP="00CA63A9">
            <w:pPr>
              <w:spacing w:before="60" w:after="60" w:line="276" w:lineRule="auto"/>
              <w:jc w:val="both"/>
              <w:rPr>
                <w:lang w:val="fr-FR"/>
              </w:rPr>
            </w:pPr>
            <w:r w:rsidRPr="003F40EF">
              <w:rPr>
                <w:lang w:val="fr-FR"/>
              </w:rPr>
              <w:t>Loi CRA</w:t>
            </w:r>
            <w:r w:rsidR="00CA63A9" w:rsidRPr="003F40EF">
              <w:rPr>
                <w:lang w:val="fr-FR"/>
              </w:rPr>
              <w:t xml:space="preserve">, 2012 </w:t>
            </w:r>
          </w:p>
          <w:p w:rsidR="00CA63A9" w:rsidRPr="003F40EF" w:rsidRDefault="00C90A14" w:rsidP="00C90A14">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BOCRA en tant qu'organisme de réglementation postale distinct de la poste du Botswana.</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R</w:t>
            </w:r>
            <w:r w:rsidR="00355A80" w:rsidRPr="003F40EF">
              <w:rPr>
                <w:rFonts w:ascii="Arial" w:hAnsi="Arial" w:cs="Arial"/>
                <w:b/>
                <w:sz w:val="19"/>
                <w:szCs w:val="19"/>
                <w:lang w:val="fr-FR"/>
              </w:rPr>
              <w:t>D</w:t>
            </w:r>
            <w:r w:rsidRPr="003F40EF">
              <w:rPr>
                <w:rFonts w:ascii="Arial" w:hAnsi="Arial" w:cs="Arial"/>
                <w:b/>
                <w:sz w:val="19"/>
                <w:szCs w:val="19"/>
                <w:lang w:val="fr-FR"/>
              </w:rPr>
              <w:t>, Congo</w:t>
            </w:r>
          </w:p>
        </w:tc>
        <w:tc>
          <w:tcPr>
            <w:tcW w:w="3665" w:type="dxa"/>
          </w:tcPr>
          <w:p w:rsidR="00CA63A9" w:rsidRPr="003F40EF" w:rsidRDefault="00253ECE" w:rsidP="00CA63A9">
            <w:pPr>
              <w:spacing w:before="60" w:after="60"/>
              <w:jc w:val="both"/>
              <w:rPr>
                <w:lang w:val="fr-FR"/>
              </w:rPr>
            </w:pPr>
            <w:r w:rsidRPr="003F40EF">
              <w:rPr>
                <w:rFonts w:ascii="Arial" w:hAnsi="Arial" w:cs="Arial"/>
                <w:sz w:val="18"/>
                <w:szCs w:val="18"/>
                <w:lang w:val="fr-FR"/>
              </w:rPr>
              <w:t>Loi</w:t>
            </w:r>
            <w:r w:rsidR="00CA63A9" w:rsidRPr="003F40EF">
              <w:rPr>
                <w:rFonts w:ascii="Arial" w:hAnsi="Arial" w:cs="Arial"/>
                <w:sz w:val="18"/>
                <w:szCs w:val="18"/>
                <w:lang w:val="fr-FR"/>
              </w:rPr>
              <w:t xml:space="preserve"> n°11-2009 </w:t>
            </w:r>
            <w:r w:rsidRPr="003F40EF">
              <w:rPr>
                <w:rFonts w:ascii="Arial" w:hAnsi="Arial" w:cs="Arial"/>
                <w:sz w:val="18"/>
                <w:szCs w:val="18"/>
                <w:lang w:val="fr-FR"/>
              </w:rPr>
              <w:t>du 25 novembre</w:t>
            </w:r>
            <w:r w:rsidR="00CA63A9" w:rsidRPr="003F40EF">
              <w:rPr>
                <w:rFonts w:ascii="Arial" w:hAnsi="Arial" w:cs="Arial"/>
                <w:sz w:val="18"/>
                <w:szCs w:val="18"/>
                <w:lang w:val="fr-FR"/>
              </w:rPr>
              <w:t xml:space="preserve"> 2009</w:t>
            </w:r>
          </w:p>
          <w:p w:rsidR="0014370F" w:rsidRPr="003F40EF" w:rsidRDefault="00CA63A9" w:rsidP="005E359A">
            <w:pPr>
              <w:pStyle w:val="ListParagraph"/>
              <w:numPr>
                <w:ilvl w:val="0"/>
                <w:numId w:val="8"/>
              </w:numPr>
              <w:spacing w:before="60" w:after="60"/>
              <w:ind w:left="436" w:hanging="450"/>
              <w:contextualSpacing w:val="0"/>
              <w:jc w:val="both"/>
              <w:rPr>
                <w:rFonts w:ascii="Arial" w:hAnsi="Arial" w:cs="Arial"/>
                <w:sz w:val="18"/>
                <w:szCs w:val="18"/>
                <w:lang w:val="fr-FR"/>
              </w:rPr>
            </w:pPr>
            <w:r w:rsidRPr="003F40EF">
              <w:rPr>
                <w:rFonts w:ascii="Arial" w:hAnsi="Arial" w:cs="Arial"/>
                <w:sz w:val="18"/>
                <w:szCs w:val="18"/>
                <w:lang w:val="fr-FR"/>
              </w:rPr>
              <w:t xml:space="preserve">Art. 5. </w:t>
            </w:r>
            <w:r w:rsidR="0014370F" w:rsidRPr="003F40EF">
              <w:rPr>
                <w:rFonts w:ascii="Arial" w:hAnsi="Arial" w:cs="Arial"/>
                <w:sz w:val="18"/>
                <w:szCs w:val="18"/>
                <w:lang w:val="fr-FR"/>
              </w:rPr>
              <w:t xml:space="preserve">Fonction de l'autorité (Agence de Régulation des Postes et des Communications Electroniques - ARPECE) : </w:t>
            </w:r>
          </w:p>
          <w:p w:rsidR="00CA63A9" w:rsidRPr="003F40EF" w:rsidRDefault="0014370F" w:rsidP="005E359A">
            <w:pPr>
              <w:pStyle w:val="ListParagraph"/>
              <w:numPr>
                <w:ilvl w:val="0"/>
                <w:numId w:val="20"/>
              </w:numPr>
              <w:spacing w:before="60" w:after="60" w:line="240" w:lineRule="auto"/>
              <w:jc w:val="both"/>
              <w:rPr>
                <w:rFonts w:ascii="Arial" w:hAnsi="Arial" w:cs="Arial"/>
                <w:sz w:val="18"/>
                <w:szCs w:val="18"/>
                <w:lang w:val="fr-FR"/>
              </w:rPr>
            </w:pPr>
            <w:r w:rsidRPr="003F40EF">
              <w:rPr>
                <w:rFonts w:ascii="Arial" w:hAnsi="Arial" w:cs="Arial"/>
                <w:sz w:val="18"/>
                <w:szCs w:val="18"/>
                <w:lang w:val="fr-FR"/>
              </w:rPr>
              <w:t>.... garantir l'exercice d'une concurrence loyale et saine dans les secteurs des communications postales et électroniques.</w:t>
            </w:r>
          </w:p>
        </w:tc>
        <w:tc>
          <w:tcPr>
            <w:tcW w:w="3355" w:type="dxa"/>
          </w:tcPr>
          <w:p w:rsidR="00CA63A9" w:rsidRPr="003F40EF" w:rsidRDefault="00CA63A9" w:rsidP="00CA63A9">
            <w:pPr>
              <w:spacing w:before="60" w:after="60" w:line="276" w:lineRule="auto"/>
              <w:jc w:val="both"/>
              <w:rPr>
                <w:rFonts w:ascii="Arial" w:hAnsi="Arial" w:cs="Arial"/>
                <w:i/>
                <w:sz w:val="18"/>
                <w:szCs w:val="18"/>
                <w:lang w:val="fr-FR"/>
              </w:rPr>
            </w:pPr>
            <w:r w:rsidRPr="003F40EF">
              <w:rPr>
                <w:rFonts w:ascii="Arial" w:hAnsi="Arial" w:cs="Arial"/>
                <w:i/>
                <w:sz w:val="18"/>
                <w:szCs w:val="18"/>
                <w:lang w:val="fr-FR"/>
              </w:rPr>
              <w:t xml:space="preserve">Loi N°10-2009 du 25-11-2009 portant règlementation du secteur des postes. </w:t>
            </w:r>
          </w:p>
          <w:p w:rsidR="00CA63A9" w:rsidRPr="003F40EF" w:rsidRDefault="00CA63A9" w:rsidP="00CA63A9">
            <w:pPr>
              <w:pStyle w:val="ListParagraph"/>
              <w:numPr>
                <w:ilvl w:val="0"/>
                <w:numId w:val="16"/>
              </w:numPr>
              <w:spacing w:before="60" w:after="60"/>
              <w:ind w:left="181" w:hanging="270"/>
              <w:jc w:val="both"/>
              <w:rPr>
                <w:rFonts w:ascii="Arial" w:hAnsi="Arial" w:cs="Arial"/>
                <w:sz w:val="18"/>
                <w:szCs w:val="18"/>
                <w:lang w:val="fr-FR"/>
              </w:rPr>
            </w:pPr>
            <w:r w:rsidRPr="003F40EF">
              <w:rPr>
                <w:rFonts w:ascii="Arial" w:hAnsi="Arial" w:cs="Arial"/>
                <w:sz w:val="18"/>
                <w:szCs w:val="18"/>
                <w:lang w:val="fr-FR"/>
              </w:rPr>
              <w:t xml:space="preserve">Art. 3 – </w:t>
            </w:r>
            <w:r w:rsidR="00253ECE" w:rsidRPr="003F40EF">
              <w:rPr>
                <w:rFonts w:ascii="Arial" w:hAnsi="Arial" w:cs="Arial"/>
                <w:sz w:val="18"/>
                <w:szCs w:val="18"/>
                <w:lang w:val="fr-FR"/>
              </w:rPr>
              <w:t>Définit le service postal universel (SPU) et le détaille dans l’A</w:t>
            </w:r>
            <w:r w:rsidRPr="003F40EF">
              <w:rPr>
                <w:rFonts w:ascii="Arial" w:hAnsi="Arial" w:cs="Arial"/>
                <w:sz w:val="18"/>
                <w:szCs w:val="18"/>
                <w:lang w:val="fr-FR"/>
              </w:rPr>
              <w:t>rticle</w:t>
            </w:r>
            <w:r w:rsidRPr="003F40EF">
              <w:rPr>
                <w:rFonts w:ascii="Arial" w:hAnsi="Arial" w:cs="Arial"/>
                <w:i/>
                <w:sz w:val="18"/>
                <w:szCs w:val="18"/>
                <w:lang w:val="fr-FR"/>
              </w:rPr>
              <w:t xml:space="preserve"> 7</w:t>
            </w:r>
          </w:p>
          <w:p w:rsidR="00CA63A9" w:rsidRPr="003F40EF" w:rsidRDefault="00CA63A9" w:rsidP="00CA63A9">
            <w:pPr>
              <w:pStyle w:val="ListParagraph"/>
              <w:numPr>
                <w:ilvl w:val="0"/>
                <w:numId w:val="16"/>
              </w:numPr>
              <w:spacing w:before="60" w:after="60"/>
              <w:ind w:left="181" w:hanging="270"/>
              <w:jc w:val="both"/>
              <w:rPr>
                <w:rFonts w:ascii="Arial" w:hAnsi="Arial" w:cs="Arial"/>
                <w:i/>
                <w:sz w:val="18"/>
                <w:szCs w:val="18"/>
                <w:lang w:val="fr-FR"/>
              </w:rPr>
            </w:pPr>
            <w:r w:rsidRPr="003F40EF">
              <w:rPr>
                <w:rFonts w:ascii="Arial" w:hAnsi="Arial" w:cs="Arial"/>
                <w:i/>
                <w:sz w:val="18"/>
                <w:szCs w:val="18"/>
                <w:lang w:val="fr-FR"/>
              </w:rPr>
              <w:t xml:space="preserve">Article 13 : </w:t>
            </w:r>
            <w:r w:rsidRPr="003F40EF">
              <w:rPr>
                <w:rFonts w:ascii="Arial" w:hAnsi="Arial" w:cs="Arial"/>
                <w:i/>
                <w:sz w:val="18"/>
                <w:szCs w:val="18"/>
                <w:highlight w:val="yellow"/>
                <w:lang w:val="fr-FR"/>
              </w:rPr>
              <w:t>L’opérateur postal en charge du service postal universel est désigné par l’Etat dans le cadre d’une concession</w:t>
            </w:r>
            <w:r w:rsidR="003F40EF" w:rsidRPr="003F40EF">
              <w:rPr>
                <w:rFonts w:ascii="Arial" w:hAnsi="Arial" w:cs="Arial"/>
                <w:i/>
                <w:sz w:val="18"/>
                <w:szCs w:val="18"/>
                <w:highlight w:val="yellow"/>
                <w:lang w:val="fr-FR"/>
              </w:rPr>
              <w:t>.</w:t>
            </w:r>
          </w:p>
        </w:tc>
        <w:tc>
          <w:tcPr>
            <w:tcW w:w="3330" w:type="dxa"/>
          </w:tcPr>
          <w:p w:rsidR="00CA63A9" w:rsidRPr="003F40EF" w:rsidRDefault="00C90A14"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Par le biais d’une </w:t>
            </w:r>
            <w:r w:rsidR="00CA63A9" w:rsidRPr="003F40EF">
              <w:rPr>
                <w:rFonts w:ascii="Arial" w:hAnsi="Arial" w:cs="Arial"/>
                <w:sz w:val="18"/>
                <w:szCs w:val="18"/>
                <w:lang w:val="fr-FR"/>
              </w:rPr>
              <w:t xml:space="preserve">concession </w:t>
            </w:r>
          </w:p>
        </w:tc>
        <w:tc>
          <w:tcPr>
            <w:tcW w:w="2970" w:type="dxa"/>
          </w:tcPr>
          <w:p w:rsidR="00CA63A9" w:rsidRPr="003F40EF" w:rsidRDefault="00C90A14" w:rsidP="00CA63A9">
            <w:pPr>
              <w:spacing w:before="60" w:after="60"/>
              <w:jc w:val="both"/>
              <w:rPr>
                <w:lang w:val="fr-FR"/>
              </w:rPr>
            </w:pPr>
            <w:r w:rsidRPr="003F40EF">
              <w:rPr>
                <w:rFonts w:ascii="Arial" w:hAnsi="Arial" w:cs="Arial"/>
                <w:sz w:val="18"/>
                <w:szCs w:val="18"/>
                <w:lang w:val="fr-FR"/>
              </w:rPr>
              <w:t>Loi</w:t>
            </w:r>
            <w:r w:rsidR="00CA63A9" w:rsidRPr="003F40EF">
              <w:rPr>
                <w:rFonts w:ascii="Arial" w:hAnsi="Arial" w:cs="Arial"/>
                <w:sz w:val="18"/>
                <w:szCs w:val="18"/>
                <w:lang w:val="fr-FR"/>
              </w:rPr>
              <w:t xml:space="preserve"> n°11-2009 </w:t>
            </w:r>
            <w:r w:rsidRPr="003F40EF">
              <w:rPr>
                <w:rFonts w:ascii="Arial" w:hAnsi="Arial" w:cs="Arial"/>
                <w:sz w:val="18"/>
                <w:szCs w:val="18"/>
                <w:lang w:val="fr-FR"/>
              </w:rPr>
              <w:t>du 25 novemb</w:t>
            </w:r>
            <w:r w:rsidR="00CA63A9" w:rsidRPr="003F40EF">
              <w:rPr>
                <w:rFonts w:ascii="Arial" w:hAnsi="Arial" w:cs="Arial"/>
                <w:sz w:val="18"/>
                <w:szCs w:val="18"/>
                <w:lang w:val="fr-FR"/>
              </w:rPr>
              <w:t>r</w:t>
            </w:r>
            <w:r w:rsidRPr="003F40EF">
              <w:rPr>
                <w:rFonts w:ascii="Arial" w:hAnsi="Arial" w:cs="Arial"/>
                <w:sz w:val="18"/>
                <w:szCs w:val="18"/>
                <w:lang w:val="fr-FR"/>
              </w:rPr>
              <w:t>e</w:t>
            </w:r>
            <w:r w:rsidR="00CA63A9" w:rsidRPr="003F40EF">
              <w:rPr>
                <w:rFonts w:ascii="Arial" w:hAnsi="Arial" w:cs="Arial"/>
                <w:sz w:val="18"/>
                <w:szCs w:val="18"/>
                <w:lang w:val="fr-FR"/>
              </w:rPr>
              <w:t xml:space="preserve"> 2009</w:t>
            </w:r>
          </w:p>
          <w:p w:rsidR="00CA63A9" w:rsidRPr="003F40EF" w:rsidRDefault="00CA63A9" w:rsidP="00C90A14">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ARPECE – </w:t>
            </w:r>
            <w:r w:rsidR="00C90A14" w:rsidRPr="003F40EF">
              <w:rPr>
                <w:rFonts w:ascii="Arial" w:hAnsi="Arial" w:cs="Arial"/>
                <w:sz w:val="18"/>
                <w:szCs w:val="18"/>
                <w:lang w:val="fr-FR"/>
              </w:rPr>
              <w:t>organisme de réglementation indépendant responsable des services postaux, distinct du bureau de poste national.</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Lesotho</w:t>
            </w:r>
          </w:p>
        </w:tc>
        <w:tc>
          <w:tcPr>
            <w:tcW w:w="3665" w:type="dxa"/>
          </w:tcPr>
          <w:p w:rsidR="00253ECE" w:rsidRPr="003F40EF" w:rsidRDefault="00253ECE" w:rsidP="00253ECE">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 No. 4 de 2012</w:t>
            </w:r>
          </w:p>
          <w:p w:rsidR="00CA63A9" w:rsidRPr="003F40EF" w:rsidRDefault="00CA63A9" w:rsidP="00CA63A9">
            <w:pPr>
              <w:spacing w:before="60" w:after="60" w:line="276" w:lineRule="auto"/>
              <w:jc w:val="both"/>
              <w:rPr>
                <w:rFonts w:ascii="Arial" w:hAnsi="Arial" w:cs="Arial"/>
                <w:sz w:val="18"/>
                <w:szCs w:val="18"/>
                <w:lang w:val="fr-FR"/>
              </w:rPr>
            </w:pPr>
          </w:p>
        </w:tc>
        <w:tc>
          <w:tcPr>
            <w:tcW w:w="3355"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w:t>
            </w:r>
          </w:p>
        </w:tc>
        <w:tc>
          <w:tcPr>
            <w:tcW w:w="3330"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w:t>
            </w:r>
          </w:p>
        </w:tc>
        <w:tc>
          <w:tcPr>
            <w:tcW w:w="2970" w:type="dxa"/>
          </w:tcPr>
          <w:p w:rsidR="00CA63A9" w:rsidRPr="003F40EF" w:rsidRDefault="00253ECE"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 No. 4 de</w:t>
            </w:r>
            <w:r w:rsidR="00CA63A9" w:rsidRPr="003F40EF">
              <w:rPr>
                <w:rFonts w:ascii="Arial" w:hAnsi="Arial" w:cs="Arial"/>
                <w:sz w:val="18"/>
                <w:szCs w:val="18"/>
                <w:lang w:val="fr-FR"/>
              </w:rPr>
              <w:t xml:space="preserve"> 2012</w:t>
            </w:r>
          </w:p>
          <w:p w:rsidR="00CA63A9" w:rsidRPr="003F40EF" w:rsidRDefault="005E359A" w:rsidP="005E359A">
            <w:pPr>
              <w:pStyle w:val="ListParagraph"/>
              <w:numPr>
                <w:ilvl w:val="0"/>
                <w:numId w:val="8"/>
              </w:numPr>
              <w:spacing w:before="60" w:after="60" w:line="240" w:lineRule="auto"/>
              <w:jc w:val="both"/>
              <w:rPr>
                <w:rFonts w:ascii="Arial" w:hAnsi="Arial" w:cs="Arial"/>
                <w:sz w:val="18"/>
                <w:szCs w:val="18"/>
                <w:lang w:val="fr-FR"/>
              </w:rPr>
            </w:pPr>
            <w:r w:rsidRPr="003F40EF">
              <w:rPr>
                <w:rFonts w:ascii="Arial" w:hAnsi="Arial" w:cs="Arial"/>
                <w:sz w:val="18"/>
                <w:szCs w:val="18"/>
                <w:lang w:val="fr-FR"/>
              </w:rPr>
              <w:lastRenderedPageBreak/>
              <w:t xml:space="preserve">L'autorité de communication du Lesotho est responsable de la réglementation des services postaux. </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lastRenderedPageBreak/>
              <w:t>Madagascar</w:t>
            </w:r>
          </w:p>
        </w:tc>
        <w:tc>
          <w:tcPr>
            <w:tcW w:w="3665"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Autorité de Régulation des Technologies de Communication (ARTEC) </w:t>
            </w:r>
          </w:p>
        </w:tc>
        <w:tc>
          <w:tcPr>
            <w:tcW w:w="3355"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w:t>
            </w:r>
          </w:p>
        </w:tc>
        <w:tc>
          <w:tcPr>
            <w:tcW w:w="3330" w:type="dxa"/>
          </w:tcPr>
          <w:p w:rsidR="00CA63A9" w:rsidRPr="003F40EF" w:rsidRDefault="00CA63A9" w:rsidP="00CA63A9">
            <w:pPr>
              <w:spacing w:before="60" w:after="60" w:line="276" w:lineRule="auto"/>
              <w:jc w:val="both"/>
              <w:rPr>
                <w:rFonts w:ascii="Arial" w:hAnsi="Arial" w:cs="Arial"/>
                <w:sz w:val="18"/>
                <w:szCs w:val="18"/>
                <w:lang w:val="fr-FR"/>
              </w:rPr>
            </w:pPr>
          </w:p>
        </w:tc>
        <w:tc>
          <w:tcPr>
            <w:tcW w:w="2970"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Loi n° 93 – 001 portant réforme institutionnelle du Secteurs Télécommunications et du Secteur de la Poste (Services Postaux, Service des mandats et Chèques Postaux) </w:t>
            </w:r>
          </w:p>
          <w:p w:rsidR="00CA63A9" w:rsidRPr="003F40EF" w:rsidRDefault="005E359A" w:rsidP="005E359A">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Le ministère des Postes, des Télécommunications et du Développement numérique est le régulateur postal distinct de "Paositra Malagasy", l'opérateur postal public.</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Malawi</w:t>
            </w:r>
          </w:p>
        </w:tc>
        <w:tc>
          <w:tcPr>
            <w:tcW w:w="3665" w:type="dxa"/>
          </w:tcPr>
          <w:p w:rsidR="00CE6B70" w:rsidRPr="003F40EF" w:rsidRDefault="00CE6B70" w:rsidP="00CE6B70">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 de 2016</w:t>
            </w:r>
          </w:p>
          <w:p w:rsidR="00CA63A9" w:rsidRPr="003F40EF" w:rsidRDefault="00CA63A9" w:rsidP="00CE6B70">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S.55. (1) </w:t>
            </w:r>
            <w:r w:rsidR="00CE6B70" w:rsidRPr="003F40EF">
              <w:rPr>
                <w:rFonts w:ascii="Arial" w:hAnsi="Arial" w:cs="Arial"/>
                <w:sz w:val="18"/>
                <w:szCs w:val="18"/>
                <w:lang w:val="fr-FR"/>
              </w:rPr>
              <w:t>L'Autorité (Malawi Communications Regulatory Authority - MACRA) doit, dans l'exercice de ses fonctions en vertu de la présente loi, promouvoir, développer et appliquer une concurrence loyale et l'égalité de traitement entre les opérateurs dans toute entreprise ou service lié au secteur des services de communications.</w:t>
            </w:r>
          </w:p>
        </w:tc>
        <w:tc>
          <w:tcPr>
            <w:tcW w:w="3355" w:type="dxa"/>
          </w:tcPr>
          <w:p w:rsidR="00CE6B70" w:rsidRPr="003F40EF" w:rsidRDefault="00CE6B70" w:rsidP="00CE6B70">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 de 2016</w:t>
            </w:r>
          </w:p>
          <w:p w:rsidR="00CE6B70" w:rsidRPr="003F40EF" w:rsidRDefault="00CE6B70" w:rsidP="00CE6B70">
            <w:pPr>
              <w:pStyle w:val="ListParagraph"/>
              <w:numPr>
                <w:ilvl w:val="0"/>
                <w:numId w:val="8"/>
              </w:numPr>
              <w:spacing w:before="60" w:after="60"/>
              <w:jc w:val="both"/>
              <w:rPr>
                <w:rFonts w:ascii="Arial" w:hAnsi="Arial" w:cs="Arial"/>
                <w:sz w:val="18"/>
                <w:szCs w:val="18"/>
                <w:lang w:val="fr-FR"/>
              </w:rPr>
            </w:pPr>
            <w:r w:rsidRPr="003F40EF">
              <w:rPr>
                <w:rFonts w:ascii="Arial" w:hAnsi="Arial" w:cs="Arial"/>
                <w:sz w:val="18"/>
                <w:szCs w:val="18"/>
                <w:lang w:val="fr-FR"/>
              </w:rPr>
              <w:t>S.155 - Élaborer le champ d'application des services universels, comprenant ....</w:t>
            </w:r>
          </w:p>
          <w:p w:rsidR="00CE6B70" w:rsidRPr="003F40EF" w:rsidRDefault="00CE6B70" w:rsidP="00C05AB6">
            <w:pPr>
              <w:spacing w:before="60" w:after="60"/>
              <w:ind w:left="360"/>
              <w:jc w:val="both"/>
              <w:rPr>
                <w:rFonts w:ascii="Arial" w:hAnsi="Arial" w:cs="Arial"/>
                <w:sz w:val="18"/>
                <w:szCs w:val="18"/>
                <w:lang w:val="fr-FR"/>
              </w:rPr>
            </w:pPr>
            <w:r w:rsidRPr="003F40EF">
              <w:rPr>
                <w:rFonts w:ascii="Arial" w:hAnsi="Arial" w:cs="Arial"/>
                <w:sz w:val="18"/>
                <w:szCs w:val="18"/>
                <w:lang w:val="fr-FR"/>
              </w:rPr>
              <w:t>o 1 (f) - accès aux services postaux de base et....</w:t>
            </w:r>
          </w:p>
          <w:p w:rsidR="00CE6B70" w:rsidRPr="003F40EF" w:rsidRDefault="00CE6B70" w:rsidP="00CE6B70">
            <w:pPr>
              <w:pStyle w:val="ListParagraph"/>
              <w:numPr>
                <w:ilvl w:val="0"/>
                <w:numId w:val="8"/>
              </w:numPr>
              <w:spacing w:before="60" w:after="60"/>
              <w:jc w:val="both"/>
              <w:rPr>
                <w:rFonts w:ascii="Arial" w:hAnsi="Arial" w:cs="Arial"/>
                <w:sz w:val="18"/>
                <w:szCs w:val="18"/>
                <w:lang w:val="fr-FR"/>
              </w:rPr>
            </w:pPr>
            <w:r w:rsidRPr="003F40EF">
              <w:rPr>
                <w:rFonts w:ascii="Arial" w:hAnsi="Arial" w:cs="Arial"/>
                <w:sz w:val="18"/>
                <w:szCs w:val="18"/>
                <w:lang w:val="fr-FR"/>
              </w:rPr>
              <w:t>S.156 - Autorité (MACRA) doit....</w:t>
            </w:r>
          </w:p>
          <w:p w:rsidR="00CA63A9" w:rsidRPr="003F40EF" w:rsidRDefault="00CE6B70" w:rsidP="00C05AB6">
            <w:pPr>
              <w:spacing w:before="60" w:after="60"/>
              <w:ind w:left="360"/>
              <w:jc w:val="both"/>
              <w:rPr>
                <w:rFonts w:ascii="Arial" w:hAnsi="Arial" w:cs="Arial"/>
                <w:sz w:val="18"/>
                <w:szCs w:val="18"/>
                <w:lang w:val="fr-FR"/>
              </w:rPr>
            </w:pPr>
            <w:r w:rsidRPr="003F40EF">
              <w:rPr>
                <w:rFonts w:ascii="Arial" w:hAnsi="Arial" w:cs="Arial"/>
                <w:sz w:val="18"/>
                <w:szCs w:val="18"/>
                <w:lang w:val="fr-FR"/>
              </w:rPr>
              <w:t>o e) désigner un ou plusieurs concessionnaires chargés du service universel ou des éléments du service universel.</w:t>
            </w:r>
          </w:p>
        </w:tc>
        <w:tc>
          <w:tcPr>
            <w:tcW w:w="3330" w:type="dxa"/>
          </w:tcPr>
          <w:p w:rsidR="00CE6B70" w:rsidRPr="003F40EF" w:rsidRDefault="00CE6B70" w:rsidP="00CE6B70">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 de 2016</w:t>
            </w:r>
          </w:p>
          <w:p w:rsidR="00CA63A9" w:rsidRPr="003F40EF" w:rsidRDefault="00CA63A9" w:rsidP="00CE6B70">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S. 124 – </w:t>
            </w:r>
            <w:r w:rsidR="00CE6B70" w:rsidRPr="003F40EF">
              <w:rPr>
                <w:rFonts w:ascii="Arial" w:hAnsi="Arial" w:cs="Arial"/>
                <w:sz w:val="18"/>
                <w:szCs w:val="18"/>
                <w:lang w:val="fr-FR"/>
              </w:rPr>
              <w:t xml:space="preserve">La licence des services postaux publics s’applique au SUP </w:t>
            </w:r>
          </w:p>
        </w:tc>
        <w:tc>
          <w:tcPr>
            <w:tcW w:w="2970" w:type="dxa"/>
          </w:tcPr>
          <w:p w:rsidR="00CA63A9" w:rsidRPr="003F40EF" w:rsidRDefault="005E359A"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w:t>
            </w:r>
            <w:r w:rsidR="00CA63A9" w:rsidRPr="003F40EF">
              <w:rPr>
                <w:rFonts w:ascii="Arial" w:hAnsi="Arial" w:cs="Arial"/>
                <w:sz w:val="18"/>
                <w:szCs w:val="18"/>
                <w:lang w:val="fr-FR"/>
              </w:rPr>
              <w:t xml:space="preserve">ommunications </w:t>
            </w:r>
            <w:r w:rsidRPr="003F40EF">
              <w:rPr>
                <w:rFonts w:ascii="Arial" w:hAnsi="Arial" w:cs="Arial"/>
                <w:sz w:val="18"/>
                <w:szCs w:val="18"/>
                <w:lang w:val="fr-FR"/>
              </w:rPr>
              <w:t>de</w:t>
            </w:r>
            <w:r w:rsidR="00CA63A9" w:rsidRPr="003F40EF">
              <w:rPr>
                <w:rFonts w:ascii="Arial" w:hAnsi="Arial" w:cs="Arial"/>
                <w:sz w:val="18"/>
                <w:szCs w:val="18"/>
                <w:lang w:val="fr-FR"/>
              </w:rPr>
              <w:t xml:space="preserve"> 2016</w:t>
            </w:r>
          </w:p>
          <w:p w:rsidR="00CA63A9" w:rsidRPr="003F40EF" w:rsidRDefault="00CA63A9" w:rsidP="00C05AB6">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S. 121 </w:t>
            </w:r>
            <w:r w:rsidR="00C05AB6" w:rsidRPr="003F40EF">
              <w:rPr>
                <w:rFonts w:ascii="Arial" w:hAnsi="Arial" w:cs="Arial"/>
                <w:sz w:val="18"/>
                <w:szCs w:val="18"/>
                <w:lang w:val="fr-FR"/>
              </w:rPr>
              <w:t>MACRA régulateur indépendant de la poste séparé de la société des postes du Malawi (DPO) établie en S. 137.</w:t>
            </w:r>
          </w:p>
        </w:tc>
      </w:tr>
      <w:tr w:rsidR="00CA63A9" w:rsidRPr="003F40EF" w:rsidTr="00CA63A9">
        <w:tc>
          <w:tcPr>
            <w:tcW w:w="1710" w:type="dxa"/>
          </w:tcPr>
          <w:p w:rsidR="00CA63A9" w:rsidRPr="003F40EF" w:rsidRDefault="00355A80"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Maurice</w:t>
            </w:r>
          </w:p>
        </w:tc>
        <w:tc>
          <w:tcPr>
            <w:tcW w:w="3665"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la concurrence</w:t>
            </w:r>
            <w:r w:rsidR="00CA63A9" w:rsidRPr="003F40EF">
              <w:rPr>
                <w:rFonts w:ascii="Arial" w:hAnsi="Arial" w:cs="Arial"/>
                <w:sz w:val="18"/>
                <w:szCs w:val="18"/>
                <w:lang w:val="fr-FR"/>
              </w:rPr>
              <w:t xml:space="preserve"> 2007</w:t>
            </w:r>
          </w:p>
          <w:p w:rsidR="00CA63A9" w:rsidRPr="003F40EF" w:rsidRDefault="00CA63A9" w:rsidP="00321104">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S. 66 - </w:t>
            </w:r>
            <w:r w:rsidR="00321104" w:rsidRPr="003F40EF">
              <w:rPr>
                <w:rFonts w:ascii="Arial" w:hAnsi="Arial" w:cs="Arial"/>
                <w:sz w:val="18"/>
                <w:szCs w:val="18"/>
                <w:lang w:val="fr-FR"/>
              </w:rPr>
              <w:t xml:space="preserve">La Commission et les organismes de réglementation </w:t>
            </w:r>
            <w:r w:rsidR="00321104" w:rsidRPr="003F40EF">
              <w:rPr>
                <w:rFonts w:ascii="Arial" w:hAnsi="Arial" w:cs="Arial"/>
                <w:sz w:val="18"/>
                <w:szCs w:val="18"/>
                <w:lang w:val="fr-FR"/>
              </w:rPr>
              <w:lastRenderedPageBreak/>
              <w:t>concluent des protocoles d'entente .... et établissent des mécanismes de coopération pratique dans l'exercice de ces responsabilités, y compris l'utilisation de l'expertise sectorielle des organismes de réglementation dans le cadre des enquêtes menées en vertu de cette loi.</w:t>
            </w:r>
          </w:p>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services postaux</w:t>
            </w:r>
            <w:r w:rsidR="00CA63A9" w:rsidRPr="003F40EF">
              <w:rPr>
                <w:rFonts w:ascii="Arial" w:hAnsi="Arial" w:cs="Arial"/>
                <w:sz w:val="18"/>
                <w:szCs w:val="18"/>
                <w:lang w:val="fr-FR"/>
              </w:rPr>
              <w:t xml:space="preserve"> 2002 </w:t>
            </w:r>
          </w:p>
          <w:p w:rsidR="00CA63A9" w:rsidRPr="003F40EF" w:rsidRDefault="00C05AB6" w:rsidP="00CA63A9">
            <w:pPr>
              <w:pStyle w:val="ListParagraph"/>
              <w:numPr>
                <w:ilvl w:val="0"/>
                <w:numId w:val="8"/>
              </w:numPr>
              <w:spacing w:before="60" w:after="60"/>
              <w:ind w:left="271" w:hanging="180"/>
              <w:contextualSpacing w:val="0"/>
              <w:jc w:val="both"/>
              <w:rPr>
                <w:rFonts w:ascii="Arial" w:hAnsi="Arial" w:cs="Arial"/>
                <w:sz w:val="18"/>
                <w:szCs w:val="18"/>
                <w:lang w:val="fr-FR"/>
              </w:rPr>
            </w:pPr>
            <w:r w:rsidRPr="003F40EF">
              <w:rPr>
                <w:rFonts w:ascii="Arial" w:hAnsi="Arial" w:cs="Arial"/>
                <w:sz w:val="18"/>
                <w:szCs w:val="18"/>
                <w:lang w:val="fr-FR"/>
              </w:rPr>
              <w:t>Aucune</w:t>
            </w:r>
            <w:r w:rsidR="00CA63A9" w:rsidRPr="003F40EF">
              <w:rPr>
                <w:rFonts w:ascii="Arial" w:hAnsi="Arial" w:cs="Arial"/>
                <w:sz w:val="18"/>
                <w:szCs w:val="18"/>
                <w:lang w:val="fr-FR"/>
              </w:rPr>
              <w:t xml:space="preserve"> </w:t>
            </w:r>
            <w:r w:rsidR="003F40EF" w:rsidRPr="003F40EF">
              <w:rPr>
                <w:rFonts w:ascii="Arial" w:hAnsi="Arial" w:cs="Arial"/>
                <w:sz w:val="18"/>
                <w:szCs w:val="18"/>
                <w:lang w:val="fr-FR"/>
              </w:rPr>
              <w:t>référence</w:t>
            </w:r>
            <w:r w:rsidRPr="003F40EF">
              <w:rPr>
                <w:rFonts w:ascii="Arial" w:hAnsi="Arial" w:cs="Arial"/>
                <w:sz w:val="18"/>
                <w:szCs w:val="18"/>
                <w:lang w:val="fr-FR"/>
              </w:rPr>
              <w:t xml:space="preserve"> spécifique</w:t>
            </w:r>
          </w:p>
        </w:tc>
        <w:tc>
          <w:tcPr>
            <w:tcW w:w="3355" w:type="dxa"/>
          </w:tcPr>
          <w:p w:rsidR="00321104" w:rsidRPr="003F40EF" w:rsidRDefault="00CE6B70" w:rsidP="00321104">
            <w:pPr>
              <w:spacing w:before="60" w:after="60" w:line="276" w:lineRule="auto"/>
              <w:jc w:val="both"/>
              <w:rPr>
                <w:rFonts w:ascii="Arial" w:hAnsi="Arial" w:cs="Arial"/>
                <w:sz w:val="18"/>
                <w:szCs w:val="18"/>
                <w:lang w:val="fr-FR"/>
              </w:rPr>
            </w:pPr>
            <w:r w:rsidRPr="003F40EF">
              <w:rPr>
                <w:rFonts w:ascii="Arial" w:hAnsi="Arial" w:cs="Arial"/>
                <w:sz w:val="18"/>
                <w:szCs w:val="18"/>
                <w:lang w:val="fr-FR"/>
              </w:rPr>
              <w:lastRenderedPageBreak/>
              <w:t>Loi sur les services postaux</w:t>
            </w:r>
            <w:r w:rsidR="00CA63A9" w:rsidRPr="003F40EF">
              <w:rPr>
                <w:rFonts w:ascii="Arial" w:hAnsi="Arial" w:cs="Arial"/>
                <w:sz w:val="18"/>
                <w:szCs w:val="18"/>
                <w:lang w:val="fr-FR"/>
              </w:rPr>
              <w:t xml:space="preserve"> 2002 – </w:t>
            </w:r>
            <w:r w:rsidR="00321104" w:rsidRPr="003F40EF">
              <w:rPr>
                <w:rFonts w:ascii="Arial" w:hAnsi="Arial" w:cs="Arial"/>
                <w:i/>
                <w:sz w:val="18"/>
                <w:szCs w:val="18"/>
                <w:lang w:val="fr-FR"/>
              </w:rPr>
              <w:t xml:space="preserve">Service universel </w:t>
            </w:r>
            <w:r w:rsidR="00321104" w:rsidRPr="003F40EF">
              <w:rPr>
                <w:rFonts w:ascii="Arial" w:hAnsi="Arial" w:cs="Arial"/>
                <w:sz w:val="18"/>
                <w:szCs w:val="18"/>
                <w:lang w:val="fr-FR"/>
              </w:rPr>
              <w:t xml:space="preserve">désigne un service de courrier ou un service postal qui est </w:t>
            </w:r>
            <w:r w:rsidR="00321104" w:rsidRPr="003F40EF">
              <w:rPr>
                <w:rFonts w:ascii="Arial" w:hAnsi="Arial" w:cs="Arial"/>
                <w:sz w:val="18"/>
                <w:szCs w:val="18"/>
                <w:lang w:val="fr-FR"/>
              </w:rPr>
              <w:lastRenderedPageBreak/>
              <w:t>raisonnablement accessible et abordable pour toute personne à l'intérieur de l'État (Maurice) sur une base équitable.</w:t>
            </w:r>
          </w:p>
          <w:p w:rsidR="00321104" w:rsidRPr="003F40EF" w:rsidRDefault="00321104" w:rsidP="00321104">
            <w:pPr>
              <w:pStyle w:val="ListParagraph"/>
              <w:numPr>
                <w:ilvl w:val="0"/>
                <w:numId w:val="8"/>
              </w:numPr>
              <w:ind w:left="256" w:hanging="180"/>
              <w:rPr>
                <w:rFonts w:ascii="Arial" w:hAnsi="Arial" w:cs="Arial"/>
                <w:sz w:val="18"/>
                <w:szCs w:val="18"/>
                <w:lang w:val="fr-FR"/>
              </w:rPr>
            </w:pPr>
            <w:r w:rsidRPr="003F40EF">
              <w:rPr>
                <w:rFonts w:ascii="Arial" w:hAnsi="Arial" w:cs="Arial"/>
                <w:sz w:val="18"/>
                <w:szCs w:val="18"/>
                <w:lang w:val="fr-FR"/>
              </w:rPr>
              <w:t>prévoit que tous les opérateurs postaux et de courrier doivent fournir un service universel.</w:t>
            </w:r>
          </w:p>
          <w:p w:rsidR="00CA63A9" w:rsidRPr="003F40EF" w:rsidRDefault="00CA63A9" w:rsidP="00321104">
            <w:pPr>
              <w:spacing w:before="60" w:after="60"/>
              <w:ind w:left="76"/>
              <w:jc w:val="both"/>
              <w:rPr>
                <w:rFonts w:ascii="Arial" w:hAnsi="Arial" w:cs="Arial"/>
                <w:sz w:val="18"/>
                <w:szCs w:val="18"/>
                <w:lang w:val="fr-FR"/>
              </w:rPr>
            </w:pPr>
          </w:p>
        </w:tc>
        <w:tc>
          <w:tcPr>
            <w:tcW w:w="3330"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lastRenderedPageBreak/>
              <w:t>Loi sur les services postaux</w:t>
            </w:r>
            <w:r w:rsidR="00CA63A9" w:rsidRPr="003F40EF">
              <w:rPr>
                <w:rFonts w:ascii="Arial" w:hAnsi="Arial" w:cs="Arial"/>
                <w:sz w:val="18"/>
                <w:szCs w:val="18"/>
                <w:lang w:val="fr-FR"/>
              </w:rPr>
              <w:t xml:space="preserve"> 2002 </w:t>
            </w:r>
          </w:p>
          <w:p w:rsidR="00CA63A9" w:rsidRPr="003F40EF" w:rsidRDefault="00CA63A9" w:rsidP="00321104">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S.8 - 11 </w:t>
            </w:r>
            <w:r w:rsidR="00321104" w:rsidRPr="003F40EF">
              <w:rPr>
                <w:rFonts w:ascii="Arial" w:hAnsi="Arial" w:cs="Arial"/>
                <w:sz w:val="18"/>
                <w:szCs w:val="18"/>
                <w:lang w:val="fr-FR"/>
              </w:rPr>
              <w:t xml:space="preserve">mais S. 9(2) Le ministre peut accorder à </w:t>
            </w:r>
            <w:r w:rsidR="00321104" w:rsidRPr="003F40EF">
              <w:rPr>
                <w:rFonts w:ascii="Arial" w:hAnsi="Arial" w:cs="Arial"/>
                <w:sz w:val="18"/>
                <w:szCs w:val="18"/>
                <w:lang w:val="fr-FR"/>
              </w:rPr>
              <w:lastRenderedPageBreak/>
              <w:t>Mauritius Post Limited un droit exclusif tel que : a) exploiter un service postal, de courrier ou un service auxiliaire, qu'il s'agisse d'un service intérieur ou étranger, à l'intérieur de l'île Maurice .....</w:t>
            </w:r>
          </w:p>
        </w:tc>
        <w:tc>
          <w:tcPr>
            <w:tcW w:w="2970" w:type="dxa"/>
          </w:tcPr>
          <w:p w:rsidR="00CA63A9" w:rsidRPr="003F40EF" w:rsidRDefault="00CE6B70" w:rsidP="00CA63A9">
            <w:pPr>
              <w:spacing w:before="60" w:after="60" w:line="276" w:lineRule="auto"/>
              <w:jc w:val="both"/>
              <w:rPr>
                <w:lang w:val="fr-FR"/>
              </w:rPr>
            </w:pPr>
            <w:r w:rsidRPr="003F40EF">
              <w:rPr>
                <w:lang w:val="fr-FR"/>
              </w:rPr>
              <w:lastRenderedPageBreak/>
              <w:t>Loi sur les services postaux</w:t>
            </w:r>
            <w:r w:rsidR="00CA63A9" w:rsidRPr="003F40EF">
              <w:rPr>
                <w:lang w:val="fr-FR"/>
              </w:rPr>
              <w:t xml:space="preserve"> 2002 </w:t>
            </w:r>
          </w:p>
          <w:p w:rsidR="00CA63A9" w:rsidRPr="003F40EF" w:rsidRDefault="00CA63A9" w:rsidP="004E3AE0">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lastRenderedPageBreak/>
              <w:t xml:space="preserve">S.4 - </w:t>
            </w:r>
            <w:r w:rsidR="00321104" w:rsidRPr="003F40EF">
              <w:rPr>
                <w:rFonts w:ascii="Arial" w:hAnsi="Arial" w:cs="Arial"/>
                <w:i/>
                <w:sz w:val="18"/>
                <w:szCs w:val="18"/>
                <w:lang w:val="fr-FR"/>
              </w:rPr>
              <w:t xml:space="preserve">L'autorité postale </w:t>
            </w:r>
            <w:r w:rsidR="00321104" w:rsidRPr="003F40EF">
              <w:rPr>
                <w:rFonts w:ascii="Arial" w:hAnsi="Arial" w:cs="Arial"/>
                <w:sz w:val="18"/>
                <w:szCs w:val="18"/>
                <w:lang w:val="fr-FR"/>
              </w:rPr>
              <w:t xml:space="preserve">(distincte de Mauritius Post </w:t>
            </w:r>
            <w:r w:rsidR="003F40EF" w:rsidRPr="003F40EF">
              <w:rPr>
                <w:rFonts w:ascii="Arial" w:hAnsi="Arial" w:cs="Arial"/>
                <w:sz w:val="18"/>
                <w:szCs w:val="18"/>
                <w:lang w:val="fr-FR"/>
              </w:rPr>
              <w:t>Ltd</w:t>
            </w:r>
            <w:r w:rsidR="00321104" w:rsidRPr="003F40EF">
              <w:rPr>
                <w:rFonts w:ascii="Arial" w:hAnsi="Arial" w:cs="Arial"/>
                <w:sz w:val="18"/>
                <w:szCs w:val="18"/>
                <w:lang w:val="fr-FR"/>
              </w:rPr>
              <w:t xml:space="preserve">) a le pouvoir de surveiller, de contrôler, d'inspecter et de réglementer les services postaux, de </w:t>
            </w:r>
            <w:r w:rsidR="004E3AE0" w:rsidRPr="003F40EF">
              <w:rPr>
                <w:rFonts w:ascii="Arial" w:hAnsi="Arial" w:cs="Arial"/>
                <w:sz w:val="18"/>
                <w:szCs w:val="18"/>
                <w:lang w:val="fr-FR"/>
              </w:rPr>
              <w:t>courrier</w:t>
            </w:r>
            <w:r w:rsidR="00321104" w:rsidRPr="003F40EF">
              <w:rPr>
                <w:rFonts w:ascii="Arial" w:hAnsi="Arial" w:cs="Arial"/>
                <w:sz w:val="18"/>
                <w:szCs w:val="18"/>
                <w:lang w:val="fr-FR"/>
              </w:rPr>
              <w:t xml:space="preserve"> et les services auxiliaires</w:t>
            </w:r>
            <w:r w:rsidR="00321104" w:rsidRPr="003F40EF">
              <w:rPr>
                <w:rFonts w:ascii="Arial" w:hAnsi="Arial" w:cs="Arial"/>
                <w:i/>
                <w:sz w:val="18"/>
                <w:szCs w:val="18"/>
                <w:lang w:val="fr-FR"/>
              </w:rPr>
              <w:t>.</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lastRenderedPageBreak/>
              <w:t>Mozambique</w:t>
            </w:r>
          </w:p>
        </w:tc>
        <w:tc>
          <w:tcPr>
            <w:tcW w:w="3665" w:type="dxa"/>
          </w:tcPr>
          <w:p w:rsidR="00CA63A9" w:rsidRPr="003F40EF" w:rsidRDefault="00C05AB6" w:rsidP="00260E4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Aucune loi sur la poste </w:t>
            </w:r>
            <w:r w:rsidR="00260E49" w:rsidRPr="003F40EF">
              <w:rPr>
                <w:rFonts w:ascii="Arial" w:hAnsi="Arial" w:cs="Arial"/>
                <w:sz w:val="18"/>
                <w:szCs w:val="18"/>
                <w:lang w:val="fr-FR"/>
              </w:rPr>
              <w:t>??</w:t>
            </w:r>
          </w:p>
        </w:tc>
        <w:tc>
          <w:tcPr>
            <w:tcW w:w="3355" w:type="dxa"/>
          </w:tcPr>
          <w:p w:rsidR="00CA63A9" w:rsidRPr="003F40EF" w:rsidRDefault="00CA63A9" w:rsidP="00CA63A9">
            <w:pPr>
              <w:spacing w:before="60" w:after="60" w:line="276" w:lineRule="auto"/>
              <w:jc w:val="both"/>
              <w:rPr>
                <w:rFonts w:ascii="Arial" w:hAnsi="Arial" w:cs="Arial"/>
                <w:sz w:val="18"/>
                <w:szCs w:val="18"/>
                <w:lang w:val="fr-FR"/>
              </w:rPr>
            </w:pPr>
          </w:p>
        </w:tc>
        <w:tc>
          <w:tcPr>
            <w:tcW w:w="3330" w:type="dxa"/>
          </w:tcPr>
          <w:p w:rsidR="00CA63A9" w:rsidRPr="003F40EF" w:rsidRDefault="00CA63A9" w:rsidP="00CA63A9">
            <w:pPr>
              <w:spacing w:before="60" w:after="60" w:line="276" w:lineRule="auto"/>
              <w:jc w:val="both"/>
              <w:rPr>
                <w:rFonts w:ascii="Arial" w:hAnsi="Arial" w:cs="Arial"/>
                <w:sz w:val="18"/>
                <w:szCs w:val="18"/>
                <w:lang w:val="fr-FR"/>
              </w:rPr>
            </w:pPr>
          </w:p>
        </w:tc>
        <w:tc>
          <w:tcPr>
            <w:tcW w:w="2970" w:type="dxa"/>
          </w:tcPr>
          <w:p w:rsidR="00CA63A9" w:rsidRPr="003F40EF" w:rsidRDefault="00CA63A9" w:rsidP="00CA63A9">
            <w:pPr>
              <w:spacing w:before="60" w:after="60" w:line="276" w:lineRule="auto"/>
              <w:jc w:val="both"/>
              <w:rPr>
                <w:rFonts w:ascii="Arial" w:hAnsi="Arial" w:cs="Arial"/>
                <w:sz w:val="18"/>
                <w:szCs w:val="18"/>
                <w:lang w:val="fr-FR"/>
              </w:rPr>
            </w:pPr>
          </w:p>
        </w:tc>
      </w:tr>
      <w:tr w:rsidR="00CA63A9" w:rsidRPr="003F40EF" w:rsidTr="00CA63A9">
        <w:tc>
          <w:tcPr>
            <w:tcW w:w="1710" w:type="dxa"/>
          </w:tcPr>
          <w:p w:rsidR="00CA63A9" w:rsidRPr="003F40EF" w:rsidRDefault="00355A80"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Namibie</w:t>
            </w:r>
          </w:p>
        </w:tc>
        <w:tc>
          <w:tcPr>
            <w:tcW w:w="3665"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w:t>
            </w:r>
            <w:r w:rsidR="00CA63A9" w:rsidRPr="003F40EF">
              <w:rPr>
                <w:rFonts w:ascii="Arial" w:hAnsi="Arial" w:cs="Arial"/>
                <w:sz w:val="18"/>
                <w:szCs w:val="18"/>
                <w:lang w:val="fr-FR"/>
              </w:rPr>
              <w:t xml:space="preserve"> 2009</w:t>
            </w:r>
          </w:p>
          <w:p w:rsidR="00CA63A9" w:rsidRPr="003F40EF" w:rsidRDefault="00932187"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Etablit </w:t>
            </w:r>
            <w:r w:rsidR="003F40EF" w:rsidRPr="003F40EF">
              <w:rPr>
                <w:rFonts w:ascii="Arial" w:hAnsi="Arial" w:cs="Arial"/>
                <w:sz w:val="18"/>
                <w:szCs w:val="18"/>
                <w:lang w:val="fr-FR"/>
              </w:rPr>
              <w:t>l’autorité réglementaire</w:t>
            </w:r>
            <w:r w:rsidRPr="003F40EF">
              <w:rPr>
                <w:rFonts w:ascii="Arial" w:hAnsi="Arial" w:cs="Arial"/>
                <w:sz w:val="18"/>
                <w:szCs w:val="18"/>
                <w:lang w:val="fr-FR"/>
              </w:rPr>
              <w:t xml:space="preserve"> des</w:t>
            </w:r>
            <w:r w:rsidR="00CA63A9" w:rsidRPr="003F40EF">
              <w:rPr>
                <w:rFonts w:ascii="Arial" w:hAnsi="Arial" w:cs="Arial"/>
                <w:sz w:val="18"/>
                <w:szCs w:val="18"/>
                <w:lang w:val="fr-FR"/>
              </w:rPr>
              <w:t xml:space="preserve"> </w:t>
            </w:r>
            <w:r w:rsidRPr="003F40EF">
              <w:rPr>
                <w:rFonts w:ascii="Arial" w:hAnsi="Arial" w:cs="Arial"/>
                <w:sz w:val="18"/>
                <w:szCs w:val="18"/>
                <w:lang w:val="fr-FR"/>
              </w:rPr>
              <w:t>c</w:t>
            </w:r>
            <w:r w:rsidR="00CA63A9" w:rsidRPr="003F40EF">
              <w:rPr>
                <w:rFonts w:ascii="Arial" w:hAnsi="Arial" w:cs="Arial"/>
                <w:sz w:val="18"/>
                <w:szCs w:val="18"/>
                <w:lang w:val="fr-FR"/>
              </w:rPr>
              <w:t xml:space="preserve">ommunications </w:t>
            </w:r>
            <w:r w:rsidRPr="003F40EF">
              <w:rPr>
                <w:rFonts w:ascii="Arial" w:hAnsi="Arial" w:cs="Arial"/>
                <w:sz w:val="18"/>
                <w:szCs w:val="18"/>
                <w:lang w:val="fr-FR"/>
              </w:rPr>
              <w:t>de la Namibie</w:t>
            </w:r>
            <w:r w:rsidR="00CA63A9" w:rsidRPr="003F40EF">
              <w:rPr>
                <w:rFonts w:ascii="Arial" w:hAnsi="Arial" w:cs="Arial"/>
                <w:sz w:val="18"/>
                <w:szCs w:val="18"/>
                <w:lang w:val="fr-FR"/>
              </w:rPr>
              <w:t xml:space="preserve"> (CRAN)</w:t>
            </w:r>
          </w:p>
          <w:p w:rsidR="00CA63A9" w:rsidRPr="003F40EF" w:rsidRDefault="00CA63A9" w:rsidP="004E3AE0">
            <w:pPr>
              <w:pStyle w:val="ListParagraph"/>
              <w:numPr>
                <w:ilvl w:val="0"/>
                <w:numId w:val="8"/>
              </w:numPr>
              <w:spacing w:before="60" w:after="60"/>
              <w:ind w:left="271" w:hanging="180"/>
              <w:contextualSpacing w:val="0"/>
              <w:jc w:val="both"/>
              <w:rPr>
                <w:rFonts w:ascii="Arial" w:hAnsi="Arial" w:cs="Arial"/>
                <w:sz w:val="18"/>
                <w:szCs w:val="18"/>
                <w:lang w:val="fr-FR"/>
              </w:rPr>
            </w:pPr>
            <w:r w:rsidRPr="003F40EF">
              <w:rPr>
                <w:rFonts w:ascii="Arial" w:hAnsi="Arial" w:cs="Arial"/>
                <w:sz w:val="18"/>
                <w:szCs w:val="18"/>
                <w:lang w:val="fr-FR"/>
              </w:rPr>
              <w:t xml:space="preserve">S.33-35 – promotion </w:t>
            </w:r>
            <w:r w:rsidR="004E3AE0" w:rsidRPr="003F40EF">
              <w:rPr>
                <w:rFonts w:ascii="Arial" w:hAnsi="Arial" w:cs="Arial"/>
                <w:sz w:val="18"/>
                <w:szCs w:val="18"/>
                <w:lang w:val="fr-FR"/>
              </w:rPr>
              <w:t>de la concurrence</w:t>
            </w:r>
            <w:r w:rsidRPr="003F40EF">
              <w:rPr>
                <w:rFonts w:ascii="Arial" w:hAnsi="Arial" w:cs="Arial"/>
                <w:sz w:val="18"/>
                <w:szCs w:val="18"/>
                <w:lang w:val="fr-FR"/>
              </w:rPr>
              <w:t xml:space="preserve"> </w:t>
            </w:r>
          </w:p>
        </w:tc>
        <w:tc>
          <w:tcPr>
            <w:tcW w:w="3355"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w:t>
            </w:r>
            <w:r w:rsidR="00CA63A9" w:rsidRPr="003F40EF">
              <w:rPr>
                <w:rFonts w:ascii="Arial" w:hAnsi="Arial" w:cs="Arial"/>
                <w:sz w:val="18"/>
                <w:szCs w:val="18"/>
                <w:lang w:val="fr-FR"/>
              </w:rPr>
              <w:t xml:space="preserve">, 2009 </w:t>
            </w:r>
          </w:p>
          <w:p w:rsidR="00932187" w:rsidRPr="003F40EF" w:rsidRDefault="00CA63A9" w:rsidP="00932187">
            <w:pPr>
              <w:pStyle w:val="ListParagraph"/>
              <w:numPr>
                <w:ilvl w:val="0"/>
                <w:numId w:val="8"/>
              </w:numPr>
              <w:spacing w:before="60" w:after="60"/>
              <w:jc w:val="both"/>
              <w:rPr>
                <w:rFonts w:ascii="Arial" w:hAnsi="Arial" w:cs="Arial"/>
                <w:sz w:val="18"/>
                <w:szCs w:val="18"/>
                <w:lang w:val="fr-FR"/>
              </w:rPr>
            </w:pPr>
            <w:r w:rsidRPr="003F40EF">
              <w:rPr>
                <w:rFonts w:ascii="Arial" w:hAnsi="Arial" w:cs="Arial"/>
                <w:sz w:val="18"/>
                <w:szCs w:val="18"/>
                <w:lang w:val="fr-FR"/>
              </w:rPr>
              <w:t xml:space="preserve">S.96 (2) </w:t>
            </w:r>
            <w:r w:rsidR="00932187" w:rsidRPr="003F40EF">
              <w:rPr>
                <w:rFonts w:ascii="Arial" w:hAnsi="Arial" w:cs="Arial"/>
                <w:sz w:val="18"/>
                <w:szCs w:val="18"/>
                <w:lang w:val="fr-FR"/>
              </w:rPr>
              <w:t>Lorsque l'Autorité (CRAN) octroie une licence postale, elle peut imposer, le cas échéant, des conditions qui peuvent porter sur -.</w:t>
            </w:r>
          </w:p>
          <w:p w:rsidR="00CA63A9" w:rsidRPr="003F40EF" w:rsidRDefault="00932187" w:rsidP="00932187">
            <w:pPr>
              <w:pStyle w:val="ListParagraph"/>
              <w:numPr>
                <w:ilvl w:val="0"/>
                <w:numId w:val="8"/>
              </w:numPr>
              <w:spacing w:before="60" w:after="60"/>
              <w:jc w:val="both"/>
              <w:rPr>
                <w:rFonts w:ascii="Arial" w:hAnsi="Arial" w:cs="Arial"/>
                <w:sz w:val="18"/>
                <w:szCs w:val="18"/>
                <w:lang w:val="fr-FR"/>
              </w:rPr>
            </w:pPr>
            <w:r w:rsidRPr="003F40EF">
              <w:rPr>
                <w:rFonts w:ascii="Arial" w:hAnsi="Arial" w:cs="Arial"/>
                <w:sz w:val="18"/>
                <w:szCs w:val="18"/>
                <w:lang w:val="fr-FR"/>
              </w:rPr>
              <w:t>(a) la fourniture obligatoire de la classe de services qu'elle juge nécessaire</w:t>
            </w:r>
          </w:p>
        </w:tc>
        <w:tc>
          <w:tcPr>
            <w:tcW w:w="3330" w:type="dxa"/>
          </w:tcPr>
          <w:p w:rsidR="00CA63A9" w:rsidRPr="003F40EF" w:rsidRDefault="00CA63A9"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 </w:t>
            </w:r>
            <w:r w:rsidR="00CE6B70" w:rsidRPr="003F40EF">
              <w:rPr>
                <w:rFonts w:ascii="Arial" w:hAnsi="Arial" w:cs="Arial"/>
                <w:sz w:val="18"/>
                <w:szCs w:val="18"/>
                <w:lang w:val="fr-FR"/>
              </w:rPr>
              <w:t>Loi sur les communications</w:t>
            </w:r>
            <w:r w:rsidRPr="003F40EF">
              <w:rPr>
                <w:rFonts w:ascii="Arial" w:hAnsi="Arial" w:cs="Arial"/>
                <w:sz w:val="18"/>
                <w:szCs w:val="18"/>
                <w:lang w:val="fr-FR"/>
              </w:rPr>
              <w:t xml:space="preserve">, 2009 </w:t>
            </w:r>
          </w:p>
          <w:p w:rsidR="00CA63A9" w:rsidRPr="003F40EF" w:rsidRDefault="00CA63A9"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S. 95 – </w:t>
            </w:r>
            <w:r w:rsidR="00932187" w:rsidRPr="003F40EF">
              <w:rPr>
                <w:rFonts w:ascii="Arial" w:hAnsi="Arial" w:cs="Arial"/>
                <w:sz w:val="18"/>
                <w:szCs w:val="18"/>
                <w:lang w:val="fr-FR"/>
              </w:rPr>
              <w:t>aucune personne sauf</w:t>
            </w:r>
            <w:r w:rsidRPr="003F40EF">
              <w:rPr>
                <w:rFonts w:ascii="Arial" w:hAnsi="Arial" w:cs="Arial"/>
                <w:sz w:val="18"/>
                <w:szCs w:val="18"/>
                <w:lang w:val="fr-FR"/>
              </w:rPr>
              <w:t xml:space="preserve"> Nampost </w:t>
            </w:r>
            <w:r w:rsidR="003F40EF" w:rsidRPr="003F40EF">
              <w:rPr>
                <w:rFonts w:ascii="Arial" w:hAnsi="Arial" w:cs="Arial"/>
                <w:sz w:val="18"/>
                <w:szCs w:val="18"/>
                <w:lang w:val="fr-FR"/>
              </w:rPr>
              <w:t>Ltd ne peut</w:t>
            </w:r>
            <w:r w:rsidR="00932187" w:rsidRPr="003F40EF">
              <w:rPr>
                <w:rFonts w:ascii="Arial" w:hAnsi="Arial" w:cs="Arial"/>
                <w:sz w:val="18"/>
                <w:szCs w:val="18"/>
                <w:lang w:val="fr-FR"/>
              </w:rPr>
              <w:t xml:space="preserve"> rendre un service postal avec licence </w:t>
            </w:r>
          </w:p>
          <w:p w:rsidR="00CA63A9" w:rsidRPr="003F40EF" w:rsidRDefault="004E3AE0"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Réglementation des services de courrier</w:t>
            </w:r>
            <w:r w:rsidR="00CA63A9" w:rsidRPr="003F40EF">
              <w:rPr>
                <w:rFonts w:ascii="Arial" w:hAnsi="Arial" w:cs="Arial"/>
                <w:sz w:val="18"/>
                <w:szCs w:val="18"/>
                <w:lang w:val="fr-FR"/>
              </w:rPr>
              <w:t>??</w:t>
            </w:r>
          </w:p>
        </w:tc>
        <w:tc>
          <w:tcPr>
            <w:tcW w:w="2970"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w:t>
            </w:r>
            <w:r w:rsidR="00CA63A9" w:rsidRPr="003F40EF">
              <w:rPr>
                <w:rFonts w:ascii="Arial" w:hAnsi="Arial" w:cs="Arial"/>
                <w:sz w:val="18"/>
                <w:szCs w:val="18"/>
                <w:lang w:val="fr-FR"/>
              </w:rPr>
              <w:t xml:space="preserve">, 2009 </w:t>
            </w:r>
          </w:p>
          <w:p w:rsidR="00CA63A9" w:rsidRPr="003F40EF" w:rsidRDefault="00932187" w:rsidP="00932187">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CRAN est le régulateur indépendant du secteur, y compris postal </w:t>
            </w:r>
            <w:r w:rsidR="00CA63A9" w:rsidRPr="003F40EF">
              <w:rPr>
                <w:rFonts w:ascii="Arial" w:hAnsi="Arial" w:cs="Arial"/>
                <w:sz w:val="18"/>
                <w:szCs w:val="18"/>
                <w:lang w:val="fr-FR"/>
              </w:rPr>
              <w:t>… (</w:t>
            </w:r>
            <w:r w:rsidRPr="003F40EF">
              <w:rPr>
                <w:rFonts w:ascii="Arial" w:hAnsi="Arial" w:cs="Arial"/>
                <w:sz w:val="18"/>
                <w:szCs w:val="18"/>
                <w:lang w:val="fr-FR"/>
              </w:rPr>
              <w:t xml:space="preserve">services de </w:t>
            </w:r>
            <w:r w:rsidR="00CA63A9" w:rsidRPr="003F40EF">
              <w:rPr>
                <w:rFonts w:ascii="Arial" w:hAnsi="Arial" w:cs="Arial"/>
                <w:sz w:val="18"/>
                <w:szCs w:val="18"/>
                <w:lang w:val="fr-FR"/>
              </w:rPr>
              <w:t>cour</w:t>
            </w:r>
            <w:r w:rsidRPr="003F40EF">
              <w:rPr>
                <w:rFonts w:ascii="Arial" w:hAnsi="Arial" w:cs="Arial"/>
                <w:sz w:val="18"/>
                <w:szCs w:val="18"/>
                <w:lang w:val="fr-FR"/>
              </w:rPr>
              <w:t xml:space="preserve">rier </w:t>
            </w:r>
            <w:r w:rsidR="00CA63A9" w:rsidRPr="003F40EF">
              <w:rPr>
                <w:rFonts w:ascii="Arial" w:hAnsi="Arial" w:cs="Arial"/>
                <w:sz w:val="18"/>
                <w:szCs w:val="18"/>
                <w:lang w:val="fr-FR"/>
              </w:rPr>
              <w:t>?)</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Seychelles</w:t>
            </w:r>
          </w:p>
        </w:tc>
        <w:tc>
          <w:tcPr>
            <w:tcW w:w="3665" w:type="dxa"/>
          </w:tcPr>
          <w:p w:rsidR="00CA63A9" w:rsidRPr="003F40EF" w:rsidRDefault="004E3AE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 secteur postal</w:t>
            </w:r>
            <w:r w:rsidR="00CA63A9" w:rsidRPr="003F40EF">
              <w:rPr>
                <w:rFonts w:ascii="Arial" w:hAnsi="Arial" w:cs="Arial"/>
                <w:sz w:val="18"/>
                <w:szCs w:val="18"/>
                <w:lang w:val="fr-FR"/>
              </w:rPr>
              <w:t>, 2010</w:t>
            </w:r>
          </w:p>
          <w:p w:rsidR="00CA63A9" w:rsidRPr="003F40EF" w:rsidRDefault="00CA63A9"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S.23 </w:t>
            </w:r>
            <w:r w:rsidR="00932187" w:rsidRPr="003F40EF">
              <w:rPr>
                <w:rFonts w:ascii="Arial" w:hAnsi="Arial" w:cs="Arial"/>
                <w:sz w:val="18"/>
                <w:szCs w:val="18"/>
                <w:lang w:val="fr-FR"/>
              </w:rPr>
              <w:t>–</w:t>
            </w:r>
            <w:r w:rsidRPr="003F40EF">
              <w:rPr>
                <w:rFonts w:ascii="Arial" w:hAnsi="Arial" w:cs="Arial"/>
                <w:sz w:val="18"/>
                <w:szCs w:val="18"/>
                <w:lang w:val="fr-FR"/>
              </w:rPr>
              <w:t xml:space="preserve"> </w:t>
            </w:r>
            <w:r w:rsidR="00932187" w:rsidRPr="003F40EF">
              <w:rPr>
                <w:rFonts w:ascii="Arial" w:hAnsi="Arial" w:cs="Arial"/>
                <w:sz w:val="18"/>
                <w:szCs w:val="18"/>
                <w:lang w:val="fr-FR"/>
              </w:rPr>
              <w:t>Fonctions du régulateur postal</w:t>
            </w:r>
            <w:r w:rsidRPr="003F40EF">
              <w:rPr>
                <w:rFonts w:ascii="Arial" w:hAnsi="Arial" w:cs="Arial"/>
                <w:sz w:val="18"/>
                <w:szCs w:val="18"/>
                <w:lang w:val="fr-FR"/>
              </w:rPr>
              <w:t xml:space="preserve"> </w:t>
            </w:r>
          </w:p>
          <w:p w:rsidR="00CA63A9" w:rsidRPr="003F40EF" w:rsidRDefault="00932187" w:rsidP="00932187">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promouvoir, développer et faire respecter la concurrence loyale et l'égalité de traitement entre les titulaires de licence dans toute entreprise ou service lié au secteur postal.</w:t>
            </w:r>
          </w:p>
        </w:tc>
        <w:tc>
          <w:tcPr>
            <w:tcW w:w="3355" w:type="dxa"/>
          </w:tcPr>
          <w:p w:rsidR="00CA63A9" w:rsidRPr="003F40EF" w:rsidRDefault="004E3AE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 secteur postal</w:t>
            </w:r>
            <w:r w:rsidR="00CA63A9" w:rsidRPr="003F40EF">
              <w:rPr>
                <w:rFonts w:ascii="Arial" w:hAnsi="Arial" w:cs="Arial"/>
                <w:sz w:val="18"/>
                <w:szCs w:val="18"/>
                <w:lang w:val="fr-FR"/>
              </w:rPr>
              <w:t>, 2010</w:t>
            </w:r>
          </w:p>
          <w:p w:rsidR="00CA63A9" w:rsidRPr="003F40EF" w:rsidRDefault="00CA63A9" w:rsidP="00932187">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S.12</w:t>
            </w:r>
            <w:r w:rsidR="003F40EF" w:rsidRPr="003F40EF">
              <w:rPr>
                <w:rFonts w:ascii="Arial" w:hAnsi="Arial" w:cs="Arial"/>
                <w:sz w:val="18"/>
                <w:szCs w:val="18"/>
                <w:lang w:val="fr-FR"/>
              </w:rPr>
              <w:t>. (</w:t>
            </w:r>
            <w:r w:rsidRPr="003F40EF">
              <w:rPr>
                <w:rFonts w:ascii="Arial" w:hAnsi="Arial" w:cs="Arial"/>
                <w:sz w:val="18"/>
                <w:szCs w:val="18"/>
                <w:lang w:val="fr-FR"/>
              </w:rPr>
              <w:t xml:space="preserve">1) </w:t>
            </w:r>
            <w:r w:rsidRPr="003F40EF">
              <w:rPr>
                <w:rFonts w:ascii="Arial" w:hAnsi="Arial" w:cs="Arial"/>
                <w:sz w:val="18"/>
                <w:szCs w:val="18"/>
                <w:lang w:val="fr-FR"/>
              </w:rPr>
              <w:tab/>
              <w:t xml:space="preserve">- </w:t>
            </w:r>
            <w:r w:rsidR="00932187" w:rsidRPr="003F40EF">
              <w:rPr>
                <w:rFonts w:ascii="Arial" w:hAnsi="Arial" w:cs="Arial"/>
                <w:sz w:val="18"/>
                <w:szCs w:val="18"/>
                <w:lang w:val="fr-FR"/>
              </w:rPr>
              <w:t>L'opérateur postal public (OPP) est le prestataire du service postal universel désigné.</w:t>
            </w:r>
          </w:p>
        </w:tc>
        <w:tc>
          <w:tcPr>
            <w:tcW w:w="3330" w:type="dxa"/>
          </w:tcPr>
          <w:p w:rsidR="00CA63A9" w:rsidRPr="003F40EF" w:rsidRDefault="004E3AE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 secteur postal</w:t>
            </w:r>
            <w:r w:rsidR="00CA63A9" w:rsidRPr="003F40EF">
              <w:rPr>
                <w:rFonts w:ascii="Arial" w:hAnsi="Arial" w:cs="Arial"/>
                <w:sz w:val="18"/>
                <w:szCs w:val="18"/>
                <w:lang w:val="fr-FR"/>
              </w:rPr>
              <w:t>, 2010</w:t>
            </w:r>
          </w:p>
          <w:p w:rsidR="00CA63A9" w:rsidRPr="003F40EF" w:rsidRDefault="00CA63A9"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S. 13(3</w:t>
            </w:r>
            <w:r w:rsidR="003F40EF" w:rsidRPr="003F40EF">
              <w:rPr>
                <w:rFonts w:ascii="Arial" w:hAnsi="Arial" w:cs="Arial"/>
                <w:sz w:val="18"/>
                <w:szCs w:val="18"/>
                <w:lang w:val="fr-FR"/>
              </w:rPr>
              <w:t>) (</w:t>
            </w:r>
            <w:r w:rsidRPr="003F40EF">
              <w:rPr>
                <w:rFonts w:ascii="Arial" w:hAnsi="Arial" w:cs="Arial"/>
                <w:sz w:val="18"/>
                <w:szCs w:val="18"/>
                <w:lang w:val="fr-FR"/>
              </w:rPr>
              <w:t>a) - licence</w:t>
            </w:r>
            <w:r w:rsidR="00932187" w:rsidRPr="003F40EF">
              <w:rPr>
                <w:rFonts w:ascii="Arial" w:hAnsi="Arial" w:cs="Arial"/>
                <w:sz w:val="18"/>
                <w:szCs w:val="18"/>
                <w:lang w:val="fr-FR"/>
              </w:rPr>
              <w:t xml:space="preserve"> d’OPP</w:t>
            </w:r>
          </w:p>
          <w:p w:rsidR="00CA63A9" w:rsidRPr="003F40EF" w:rsidRDefault="00932187"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S.14 – conditions de licence d’opérateur postal public</w:t>
            </w:r>
            <w:r w:rsidR="00CA63A9" w:rsidRPr="003F40EF">
              <w:rPr>
                <w:rFonts w:ascii="Arial" w:hAnsi="Arial" w:cs="Arial"/>
                <w:sz w:val="18"/>
                <w:szCs w:val="18"/>
                <w:lang w:val="fr-FR"/>
              </w:rPr>
              <w:t xml:space="preserve"> </w:t>
            </w:r>
          </w:p>
        </w:tc>
        <w:tc>
          <w:tcPr>
            <w:tcW w:w="2970" w:type="dxa"/>
          </w:tcPr>
          <w:p w:rsidR="00CA63A9" w:rsidRPr="003F40EF" w:rsidRDefault="004E3AE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 secteur postal</w:t>
            </w:r>
            <w:r w:rsidR="00CA63A9" w:rsidRPr="003F40EF">
              <w:rPr>
                <w:rFonts w:ascii="Arial" w:hAnsi="Arial" w:cs="Arial"/>
                <w:sz w:val="18"/>
                <w:szCs w:val="18"/>
                <w:lang w:val="fr-FR"/>
              </w:rPr>
              <w:t>, 2010</w:t>
            </w:r>
          </w:p>
          <w:p w:rsidR="0074486B" w:rsidRPr="003F40EF" w:rsidRDefault="00CA63A9"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S. 23. </w:t>
            </w:r>
            <w:r w:rsidR="0074486B" w:rsidRPr="003F40EF">
              <w:rPr>
                <w:rFonts w:ascii="Arial" w:hAnsi="Arial" w:cs="Arial"/>
                <w:sz w:val="18"/>
                <w:szCs w:val="18"/>
                <w:lang w:val="fr-FR"/>
              </w:rPr>
              <w:t>Régulateur postal - fonctions</w:t>
            </w:r>
          </w:p>
          <w:p w:rsidR="00CA63A9" w:rsidRPr="003F40EF" w:rsidRDefault="0074486B" w:rsidP="0074486B">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(j) surveiller, contrôler, inspecter et réglementer les services postaux, de messagerie et les services auxiliaires et s'assurer que ces services sont fournis et exploités.</w:t>
            </w:r>
          </w:p>
        </w:tc>
      </w:tr>
      <w:tr w:rsidR="00CA63A9" w:rsidRPr="003F40EF" w:rsidTr="00CA63A9">
        <w:tc>
          <w:tcPr>
            <w:tcW w:w="1710" w:type="dxa"/>
          </w:tcPr>
          <w:p w:rsidR="00CA63A9" w:rsidRPr="003F40EF" w:rsidRDefault="00355A80"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lastRenderedPageBreak/>
              <w:t>Afrique du Sud</w:t>
            </w:r>
            <w:r w:rsidR="00CA63A9" w:rsidRPr="003F40EF">
              <w:rPr>
                <w:rFonts w:ascii="Arial" w:hAnsi="Arial" w:cs="Arial"/>
                <w:b/>
                <w:sz w:val="19"/>
                <w:szCs w:val="19"/>
                <w:lang w:val="fr-FR"/>
              </w:rPr>
              <w:t xml:space="preserve"> </w:t>
            </w:r>
          </w:p>
        </w:tc>
        <w:tc>
          <w:tcPr>
            <w:tcW w:w="3665"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services postaux</w:t>
            </w:r>
            <w:r w:rsidR="00CA63A9" w:rsidRPr="003F40EF">
              <w:rPr>
                <w:rFonts w:ascii="Arial" w:hAnsi="Arial" w:cs="Arial"/>
                <w:sz w:val="18"/>
                <w:szCs w:val="18"/>
                <w:lang w:val="fr-FR"/>
              </w:rPr>
              <w:t xml:space="preserve"> No. 124 of 1998</w:t>
            </w:r>
          </w:p>
          <w:p w:rsidR="00C95808" w:rsidRPr="003F40EF" w:rsidRDefault="00C95808" w:rsidP="00C95808">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S. 16 (6) - </w:t>
            </w:r>
            <w:r w:rsidRPr="003F40EF">
              <w:rPr>
                <w:rFonts w:ascii="Arial" w:hAnsi="Arial" w:cs="Arial"/>
                <w:sz w:val="18"/>
                <w:szCs w:val="18"/>
                <w:lang w:val="fr-FR"/>
              </w:rPr>
              <w:t xml:space="preserve">S'il apparaît que l'entreprise postale ou tout autre titulaire de licence prend ou a l'intention de prendre </w:t>
            </w:r>
            <w:r w:rsidRPr="003F40EF">
              <w:rPr>
                <w:rFonts w:ascii="Arial" w:hAnsi="Arial" w:cs="Arial"/>
                <w:i/>
                <w:sz w:val="18"/>
                <w:szCs w:val="18"/>
                <w:lang w:val="fr-FR"/>
              </w:rPr>
              <w:t>toute mesure</w:t>
            </w:r>
            <w:r w:rsidRPr="003F40EF">
              <w:rPr>
                <w:rFonts w:ascii="Arial" w:hAnsi="Arial" w:cs="Arial"/>
                <w:sz w:val="18"/>
                <w:szCs w:val="18"/>
                <w:lang w:val="fr-FR"/>
              </w:rPr>
              <w:t xml:space="preserve"> qui a donné ou est susceptible </w:t>
            </w:r>
            <w:r w:rsidRPr="003F40EF">
              <w:rPr>
                <w:rFonts w:ascii="Arial" w:hAnsi="Arial" w:cs="Arial"/>
                <w:i/>
                <w:sz w:val="18"/>
                <w:szCs w:val="18"/>
                <w:lang w:val="fr-FR"/>
              </w:rPr>
              <w:t xml:space="preserve">de donner un avantage indu </w:t>
            </w:r>
            <w:r w:rsidRPr="003F40EF">
              <w:rPr>
                <w:rFonts w:ascii="Arial" w:hAnsi="Arial" w:cs="Arial"/>
                <w:sz w:val="18"/>
                <w:szCs w:val="18"/>
                <w:lang w:val="fr-FR"/>
              </w:rPr>
              <w:t xml:space="preserve">à lui-même ou à toute autre personne ou catégorie de personnes, l'organisme de réglementation peut, après avoir donné au titulaire de la licence la possibilité d'être entendu, ordonner par écrit au titulaire de la licence </w:t>
            </w:r>
            <w:r w:rsidRPr="003F40EF">
              <w:rPr>
                <w:rFonts w:ascii="Arial" w:hAnsi="Arial" w:cs="Arial"/>
                <w:i/>
                <w:sz w:val="18"/>
                <w:szCs w:val="18"/>
                <w:lang w:val="fr-FR"/>
              </w:rPr>
              <w:t>de cesser ou de s'abstenir de prendre une telle mesure</w:t>
            </w:r>
            <w:r w:rsidRPr="003F40EF">
              <w:rPr>
                <w:rFonts w:ascii="Arial" w:hAnsi="Arial" w:cs="Arial"/>
                <w:sz w:val="18"/>
                <w:szCs w:val="18"/>
                <w:lang w:val="fr-FR"/>
              </w:rPr>
              <w:t xml:space="preserve">. </w:t>
            </w:r>
          </w:p>
        </w:tc>
        <w:tc>
          <w:tcPr>
            <w:tcW w:w="3355" w:type="dxa"/>
          </w:tcPr>
          <w:p w:rsidR="00CA63A9" w:rsidRPr="003F40EF" w:rsidRDefault="00C95808"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South Africa Post (SAPO) est le seul titulaire d'une licence de service postal réservé - GN # 32859 du 10/01/2010.</w:t>
            </w:r>
          </w:p>
        </w:tc>
        <w:tc>
          <w:tcPr>
            <w:tcW w:w="3330" w:type="dxa"/>
          </w:tcPr>
          <w:p w:rsidR="00CA63A9" w:rsidRPr="003F40EF" w:rsidRDefault="003F40EF"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Procédure</w:t>
            </w:r>
            <w:r w:rsidR="00C95808" w:rsidRPr="003F40EF">
              <w:rPr>
                <w:rFonts w:ascii="Arial" w:hAnsi="Arial" w:cs="Arial"/>
                <w:sz w:val="18"/>
                <w:szCs w:val="18"/>
                <w:lang w:val="fr-FR"/>
              </w:rPr>
              <w:t xml:space="preserve"> et critères spécifiés dans la S.16 de la</w:t>
            </w:r>
            <w:r w:rsidR="00CA63A9" w:rsidRPr="003F40EF">
              <w:rPr>
                <w:rFonts w:ascii="Arial" w:hAnsi="Arial" w:cs="Arial"/>
                <w:sz w:val="18"/>
                <w:szCs w:val="18"/>
                <w:lang w:val="fr-FR"/>
              </w:rPr>
              <w:t xml:space="preserve"> </w:t>
            </w:r>
            <w:r w:rsidR="00CE6B70" w:rsidRPr="003F40EF">
              <w:rPr>
                <w:rFonts w:ascii="Arial" w:hAnsi="Arial" w:cs="Arial"/>
                <w:sz w:val="18"/>
                <w:szCs w:val="18"/>
                <w:lang w:val="fr-FR"/>
              </w:rPr>
              <w:t>Loi sur les services postaux</w:t>
            </w:r>
            <w:r w:rsidR="00CA63A9" w:rsidRPr="003F40EF">
              <w:rPr>
                <w:rFonts w:ascii="Arial" w:hAnsi="Arial" w:cs="Arial"/>
                <w:sz w:val="18"/>
                <w:szCs w:val="18"/>
                <w:lang w:val="fr-FR"/>
              </w:rPr>
              <w:t>, 1998 (amend</w:t>
            </w:r>
            <w:r w:rsidR="00C95808" w:rsidRPr="003F40EF">
              <w:rPr>
                <w:rFonts w:ascii="Arial" w:hAnsi="Arial" w:cs="Arial"/>
                <w:sz w:val="18"/>
                <w:szCs w:val="18"/>
                <w:lang w:val="fr-FR"/>
              </w:rPr>
              <w:t>e</w:t>
            </w:r>
            <w:r w:rsidR="00CA63A9" w:rsidRPr="003F40EF">
              <w:rPr>
                <w:rFonts w:ascii="Arial" w:hAnsi="Arial" w:cs="Arial"/>
                <w:sz w:val="18"/>
                <w:szCs w:val="18"/>
                <w:lang w:val="fr-FR"/>
              </w:rPr>
              <w:t xml:space="preserve">ment </w:t>
            </w:r>
            <w:r w:rsidR="00C95808" w:rsidRPr="003F40EF">
              <w:rPr>
                <w:rFonts w:ascii="Arial" w:hAnsi="Arial" w:cs="Arial"/>
                <w:sz w:val="18"/>
                <w:szCs w:val="18"/>
                <w:lang w:val="fr-FR"/>
              </w:rPr>
              <w:t xml:space="preserve">de </w:t>
            </w:r>
            <w:r w:rsidR="00CA63A9" w:rsidRPr="003F40EF">
              <w:rPr>
                <w:rFonts w:ascii="Arial" w:hAnsi="Arial" w:cs="Arial"/>
                <w:sz w:val="18"/>
                <w:szCs w:val="18"/>
                <w:lang w:val="fr-FR"/>
              </w:rPr>
              <w:t>2016)</w:t>
            </w:r>
          </w:p>
        </w:tc>
        <w:tc>
          <w:tcPr>
            <w:tcW w:w="2970"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services postaux</w:t>
            </w:r>
            <w:r w:rsidR="00CA63A9" w:rsidRPr="003F40EF">
              <w:rPr>
                <w:rFonts w:ascii="Arial" w:hAnsi="Arial" w:cs="Arial"/>
                <w:sz w:val="18"/>
                <w:szCs w:val="18"/>
                <w:lang w:val="fr-FR"/>
              </w:rPr>
              <w:t xml:space="preserve">, No. 124 of 1998 - </w:t>
            </w:r>
            <w:r w:rsidR="00C95808" w:rsidRPr="003F40EF">
              <w:rPr>
                <w:rFonts w:ascii="Arial" w:hAnsi="Arial" w:cs="Arial"/>
                <w:sz w:val="18"/>
                <w:szCs w:val="18"/>
                <w:lang w:val="fr-FR"/>
              </w:rPr>
              <w:t xml:space="preserve">L'autorité indépendante des communications de l'Afrique du Sud (ICASA) est l'organisme de réglementation postale </w:t>
            </w:r>
            <w:r w:rsidR="00C95808" w:rsidRPr="003F40EF">
              <w:rPr>
                <w:rFonts w:ascii="Arial" w:hAnsi="Arial" w:cs="Arial"/>
                <w:i/>
                <w:sz w:val="18"/>
                <w:szCs w:val="18"/>
                <w:lang w:val="fr-FR"/>
              </w:rPr>
              <w:t>indépendant de SAPO</w:t>
            </w:r>
            <w:r w:rsidR="00C95808" w:rsidRPr="003F40EF">
              <w:rPr>
                <w:rFonts w:ascii="Arial" w:hAnsi="Arial" w:cs="Arial"/>
                <w:sz w:val="18"/>
                <w:szCs w:val="18"/>
                <w:lang w:val="fr-FR"/>
              </w:rPr>
              <w:t>.</w:t>
            </w: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Swaziland</w:t>
            </w:r>
          </w:p>
        </w:tc>
        <w:tc>
          <w:tcPr>
            <w:tcW w:w="3665" w:type="dxa"/>
          </w:tcPr>
          <w:p w:rsidR="00C95808" w:rsidRPr="003F40EF" w:rsidRDefault="00C95808" w:rsidP="00C95808">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n° 10 de 2013 sur la Commission des communications du Swaziland (SCCOM)</w:t>
            </w:r>
          </w:p>
          <w:p w:rsidR="00C95808" w:rsidRPr="003F40EF" w:rsidRDefault="00C95808" w:rsidP="00C95808">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S.6(l) - administrer certains aspects de la </w:t>
            </w:r>
            <w:r w:rsidRPr="003F40EF">
              <w:rPr>
                <w:rFonts w:ascii="Arial" w:hAnsi="Arial" w:cs="Arial"/>
                <w:sz w:val="18"/>
                <w:szCs w:val="18"/>
                <w:lang w:val="fr-FR"/>
              </w:rPr>
              <w:t>Loi sur le commerce équitable</w:t>
            </w:r>
            <w:r w:rsidRPr="003F40EF">
              <w:rPr>
                <w:rFonts w:ascii="Arial" w:hAnsi="Arial" w:cs="Arial"/>
                <w:sz w:val="18"/>
                <w:szCs w:val="18"/>
                <w:lang w:val="fr-FR"/>
              </w:rPr>
              <w:t xml:space="preserve">, 2001, dans la mesure où ils concernent les secteurs réglementés par le SCCOM. </w:t>
            </w:r>
          </w:p>
          <w:p w:rsidR="00CA63A9" w:rsidRPr="003F40EF" w:rsidRDefault="00C95808" w:rsidP="00C95808">
            <w:pPr>
              <w:spacing w:before="60" w:after="60" w:line="276" w:lineRule="auto"/>
              <w:jc w:val="both"/>
              <w:rPr>
                <w:rFonts w:ascii="Arial" w:hAnsi="Arial" w:cs="Arial"/>
                <w:sz w:val="18"/>
                <w:szCs w:val="18"/>
                <w:lang w:val="fr-FR"/>
              </w:rPr>
            </w:pPr>
            <w:r w:rsidRPr="003F40EF">
              <w:rPr>
                <w:rFonts w:ascii="Arial" w:hAnsi="Arial" w:cs="Arial"/>
                <w:sz w:val="18"/>
                <w:szCs w:val="18"/>
                <w:lang w:val="fr-FR"/>
              </w:rPr>
              <w:t>S.7(s) - Assurer une concurrence loyale dans tous les services, produits, opérations et activités de communicati</w:t>
            </w:r>
            <w:r w:rsidRPr="003F40EF">
              <w:rPr>
                <w:rFonts w:ascii="Arial" w:hAnsi="Arial" w:cs="Arial"/>
                <w:sz w:val="18"/>
                <w:szCs w:val="18"/>
                <w:lang w:val="fr-FR"/>
              </w:rPr>
              <w:t>on que le SCCOM réglemente.</w:t>
            </w:r>
          </w:p>
        </w:tc>
        <w:tc>
          <w:tcPr>
            <w:tcW w:w="3355" w:type="dxa"/>
          </w:tcPr>
          <w:p w:rsidR="00CA63A9" w:rsidRPr="003F40EF" w:rsidRDefault="00C95808"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Définie dans la délivrance des licences en vertu de l'article 16 de la </w:t>
            </w:r>
            <w:r w:rsidR="003F40EF">
              <w:rPr>
                <w:rFonts w:ascii="Arial" w:hAnsi="Arial" w:cs="Arial"/>
                <w:sz w:val="18"/>
                <w:szCs w:val="18"/>
                <w:lang w:val="fr-FR"/>
              </w:rPr>
              <w:t xml:space="preserve">loi SCCOM </w:t>
            </w:r>
            <w:r w:rsidRPr="003F40EF">
              <w:rPr>
                <w:rFonts w:ascii="Arial" w:hAnsi="Arial" w:cs="Arial"/>
                <w:sz w:val="18"/>
                <w:szCs w:val="18"/>
                <w:lang w:val="fr-FR"/>
              </w:rPr>
              <w:t>2013 et élaborée dans la Loi sur les communications électroniques n° 9 de 2013.</w:t>
            </w:r>
          </w:p>
        </w:tc>
        <w:tc>
          <w:tcPr>
            <w:tcW w:w="3330" w:type="dxa"/>
          </w:tcPr>
          <w:p w:rsidR="00CA63A9" w:rsidRPr="003F40EF" w:rsidRDefault="00CE6B70"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communications</w:t>
            </w:r>
            <w:r w:rsidR="00CA63A9" w:rsidRPr="003F40EF">
              <w:rPr>
                <w:rFonts w:ascii="Arial" w:hAnsi="Arial" w:cs="Arial"/>
                <w:sz w:val="18"/>
                <w:szCs w:val="18"/>
                <w:lang w:val="fr-FR"/>
              </w:rPr>
              <w:t xml:space="preserve"> </w:t>
            </w:r>
            <w:r w:rsidR="0074486B" w:rsidRPr="003F40EF">
              <w:rPr>
                <w:rFonts w:ascii="Arial" w:hAnsi="Arial" w:cs="Arial"/>
                <w:sz w:val="18"/>
                <w:szCs w:val="18"/>
                <w:lang w:val="fr-FR"/>
              </w:rPr>
              <w:t xml:space="preserve">électroniques </w:t>
            </w:r>
            <w:r w:rsidR="00CA63A9" w:rsidRPr="003F40EF">
              <w:rPr>
                <w:rFonts w:ascii="Arial" w:hAnsi="Arial" w:cs="Arial"/>
                <w:sz w:val="18"/>
                <w:szCs w:val="18"/>
                <w:lang w:val="fr-FR"/>
              </w:rPr>
              <w:t xml:space="preserve">2013 </w:t>
            </w:r>
          </w:p>
          <w:p w:rsidR="00C95808" w:rsidRPr="003F40EF" w:rsidRDefault="00C95808" w:rsidP="00C95808">
            <w:pPr>
              <w:pStyle w:val="ListParagraph"/>
              <w:numPr>
                <w:ilvl w:val="0"/>
                <w:numId w:val="8"/>
              </w:numPr>
              <w:spacing w:before="60" w:after="60"/>
              <w:jc w:val="both"/>
              <w:rPr>
                <w:rFonts w:ascii="Arial" w:hAnsi="Arial" w:cs="Arial"/>
                <w:sz w:val="18"/>
                <w:szCs w:val="18"/>
                <w:lang w:val="fr-FR"/>
              </w:rPr>
            </w:pPr>
            <w:r w:rsidRPr="003F40EF">
              <w:rPr>
                <w:rFonts w:ascii="Arial" w:hAnsi="Arial" w:cs="Arial"/>
                <w:sz w:val="18"/>
                <w:szCs w:val="18"/>
                <w:lang w:val="fr-FR"/>
              </w:rPr>
              <w:t>S. 31 - titulaire(s) de licence désigné(s) pour les services universels</w:t>
            </w:r>
          </w:p>
          <w:p w:rsidR="00C95808" w:rsidRPr="003F40EF" w:rsidRDefault="00C95808" w:rsidP="00C95808">
            <w:pPr>
              <w:spacing w:before="60" w:after="60"/>
              <w:jc w:val="both"/>
              <w:rPr>
                <w:rFonts w:ascii="Arial" w:hAnsi="Arial" w:cs="Arial"/>
                <w:sz w:val="18"/>
                <w:szCs w:val="18"/>
                <w:lang w:val="fr-FR"/>
              </w:rPr>
            </w:pPr>
            <w:r w:rsidRPr="003F40EF">
              <w:rPr>
                <w:rFonts w:ascii="Arial" w:hAnsi="Arial" w:cs="Arial"/>
                <w:sz w:val="18"/>
                <w:szCs w:val="18"/>
                <w:lang w:val="fr-FR"/>
              </w:rPr>
              <w:t>Règlement de 2016 sur les communications électroniques (octroi de licences)</w:t>
            </w:r>
          </w:p>
          <w:p w:rsidR="00CA63A9" w:rsidRPr="003F40EF" w:rsidRDefault="00C95808" w:rsidP="00C95808">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S.5-10 - spécifie la procédure, les critères, les conditions, etc.  </w:t>
            </w:r>
          </w:p>
        </w:tc>
        <w:tc>
          <w:tcPr>
            <w:tcW w:w="2970" w:type="dxa"/>
          </w:tcPr>
          <w:p w:rsidR="00CA63A9" w:rsidRPr="003F40EF" w:rsidRDefault="0074486B"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Loi SCCOM </w:t>
            </w:r>
            <w:r w:rsidR="00CA63A9" w:rsidRPr="003F40EF">
              <w:rPr>
                <w:rFonts w:ascii="Arial" w:hAnsi="Arial" w:cs="Arial"/>
                <w:sz w:val="18"/>
                <w:szCs w:val="18"/>
                <w:lang w:val="fr-FR"/>
              </w:rPr>
              <w:t xml:space="preserve">2013 </w:t>
            </w:r>
          </w:p>
          <w:p w:rsidR="00C95808" w:rsidRPr="003F40EF" w:rsidRDefault="00C95808" w:rsidP="00C95808">
            <w:pPr>
              <w:pStyle w:val="ListParagraph"/>
              <w:numPr>
                <w:ilvl w:val="0"/>
                <w:numId w:val="8"/>
              </w:numPr>
              <w:rPr>
                <w:rFonts w:ascii="Arial" w:hAnsi="Arial" w:cs="Arial"/>
                <w:sz w:val="18"/>
                <w:szCs w:val="18"/>
                <w:lang w:val="fr-FR"/>
              </w:rPr>
            </w:pPr>
            <w:r w:rsidRPr="003F40EF">
              <w:rPr>
                <w:rFonts w:ascii="Arial" w:hAnsi="Arial" w:cs="Arial"/>
                <w:sz w:val="18"/>
                <w:szCs w:val="18"/>
                <w:lang w:val="fr-FR"/>
              </w:rPr>
              <w:t xml:space="preserve">S 3(2) .... est indépendant dans l'exercice des fonctions de la Commission et </w:t>
            </w:r>
            <w:r w:rsidRPr="003F40EF">
              <w:rPr>
                <w:rFonts w:ascii="Arial" w:hAnsi="Arial" w:cs="Arial"/>
                <w:i/>
                <w:sz w:val="18"/>
                <w:szCs w:val="18"/>
                <w:lang w:val="fr-FR"/>
              </w:rPr>
              <w:t>n'est soumis à la direction ou au contrôle d'aucune personne ou autorité.</w:t>
            </w:r>
            <w:r w:rsidRPr="003F40EF">
              <w:rPr>
                <w:rFonts w:ascii="Arial" w:hAnsi="Arial" w:cs="Arial"/>
                <w:sz w:val="18"/>
                <w:szCs w:val="18"/>
                <w:lang w:val="fr-FR"/>
              </w:rPr>
              <w:t xml:space="preserve"> </w:t>
            </w:r>
          </w:p>
          <w:p w:rsidR="00CA63A9" w:rsidRPr="003F40EF" w:rsidRDefault="00C95808" w:rsidP="00C95808">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L'article 6(b) réglemente et supervise la prestation des services postaux.</w:t>
            </w:r>
          </w:p>
        </w:tc>
      </w:tr>
      <w:tr w:rsidR="00CA63A9" w:rsidRPr="003F40EF" w:rsidTr="00CA63A9">
        <w:tc>
          <w:tcPr>
            <w:tcW w:w="1710" w:type="dxa"/>
          </w:tcPr>
          <w:p w:rsidR="00CA63A9" w:rsidRPr="003F40EF" w:rsidRDefault="00355A80"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Tanzanie</w:t>
            </w:r>
          </w:p>
        </w:tc>
        <w:tc>
          <w:tcPr>
            <w:tcW w:w="3665" w:type="dxa"/>
          </w:tcPr>
          <w:p w:rsidR="00C95808" w:rsidRPr="003F40EF" w:rsidRDefault="00C95808" w:rsidP="00C95808">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Règlement sur les communications électroniques et postales (EPOC) (Concours), 2011 </w:t>
            </w:r>
          </w:p>
          <w:p w:rsidR="00CA63A9" w:rsidRPr="003F40EF" w:rsidRDefault="00C95808" w:rsidP="00C95808">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S.5 - interdit </w:t>
            </w:r>
            <w:r w:rsidRPr="003F40EF">
              <w:rPr>
                <w:rFonts w:ascii="Arial" w:hAnsi="Arial" w:cs="Arial"/>
                <w:i/>
                <w:sz w:val="18"/>
                <w:szCs w:val="18"/>
                <w:lang w:val="fr-FR"/>
              </w:rPr>
              <w:t>les</w:t>
            </w:r>
            <w:r w:rsidRPr="003F40EF">
              <w:rPr>
                <w:rFonts w:ascii="Arial" w:hAnsi="Arial" w:cs="Arial"/>
                <w:sz w:val="18"/>
                <w:szCs w:val="18"/>
                <w:lang w:val="fr-FR"/>
              </w:rPr>
              <w:t xml:space="preserve"> accords, arrangements ou décisions anticoncurrentiels, les abus de position dominante ; les fusions, acquisitions, regroupements ou prises </w:t>
            </w:r>
            <w:r w:rsidRPr="003F40EF">
              <w:rPr>
                <w:rFonts w:ascii="Arial" w:hAnsi="Arial" w:cs="Arial"/>
                <w:sz w:val="18"/>
                <w:szCs w:val="18"/>
                <w:lang w:val="fr-FR"/>
              </w:rPr>
              <w:lastRenderedPageBreak/>
              <w:t>de contrôle anticoncurrentiels ; toutes les autres pratiques et actes ayant un effet négatif sur la concurrence loyale.</w:t>
            </w:r>
          </w:p>
        </w:tc>
        <w:tc>
          <w:tcPr>
            <w:tcW w:w="3355" w:type="dxa"/>
          </w:tcPr>
          <w:p w:rsidR="00CA63A9"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lastRenderedPageBreak/>
              <w:t xml:space="preserve">Les </w:t>
            </w:r>
            <w:r w:rsidR="003F40EF">
              <w:rPr>
                <w:rFonts w:ascii="Arial" w:hAnsi="Arial" w:cs="Arial"/>
                <w:sz w:val="18"/>
                <w:szCs w:val="18"/>
                <w:lang w:val="fr-FR"/>
              </w:rPr>
              <w:t>S</w:t>
            </w:r>
            <w:r w:rsidR="003F40EF" w:rsidRPr="003F40EF">
              <w:rPr>
                <w:rFonts w:ascii="Arial" w:hAnsi="Arial" w:cs="Arial"/>
                <w:sz w:val="18"/>
                <w:szCs w:val="18"/>
                <w:lang w:val="fr-FR"/>
              </w:rPr>
              <w:t>ervices</w:t>
            </w:r>
            <w:r w:rsidRPr="003F40EF">
              <w:rPr>
                <w:rFonts w:ascii="Arial" w:hAnsi="Arial" w:cs="Arial"/>
                <w:sz w:val="18"/>
                <w:szCs w:val="18"/>
                <w:lang w:val="fr-FR"/>
              </w:rPr>
              <w:t xml:space="preserve"> Postaux Universels (</w:t>
            </w:r>
            <w:r w:rsidR="00CA63A9" w:rsidRPr="003F40EF">
              <w:rPr>
                <w:rFonts w:ascii="Arial" w:hAnsi="Arial" w:cs="Arial"/>
                <w:sz w:val="18"/>
                <w:szCs w:val="18"/>
                <w:lang w:val="fr-FR"/>
              </w:rPr>
              <w:t>S</w:t>
            </w:r>
            <w:r w:rsidRPr="003F40EF">
              <w:rPr>
                <w:rFonts w:ascii="Arial" w:hAnsi="Arial" w:cs="Arial"/>
                <w:sz w:val="18"/>
                <w:szCs w:val="18"/>
                <w:lang w:val="fr-FR"/>
              </w:rPr>
              <w:t>UP</w:t>
            </w:r>
            <w:r w:rsidR="00CA63A9" w:rsidRPr="003F40EF">
              <w:rPr>
                <w:rFonts w:ascii="Arial" w:hAnsi="Arial" w:cs="Arial"/>
                <w:sz w:val="18"/>
                <w:szCs w:val="18"/>
                <w:lang w:val="fr-FR"/>
              </w:rPr>
              <w:t xml:space="preserve">) </w:t>
            </w:r>
            <w:r w:rsidR="003F40EF">
              <w:rPr>
                <w:rFonts w:ascii="Arial" w:hAnsi="Arial" w:cs="Arial"/>
                <w:sz w:val="18"/>
                <w:szCs w:val="18"/>
                <w:lang w:val="fr-FR"/>
              </w:rPr>
              <w:t>sont défini</w:t>
            </w:r>
            <w:r w:rsidRPr="003F40EF">
              <w:rPr>
                <w:rFonts w:ascii="Arial" w:hAnsi="Arial" w:cs="Arial"/>
                <w:sz w:val="18"/>
                <w:szCs w:val="18"/>
                <w:lang w:val="fr-FR"/>
              </w:rPr>
              <w:t xml:space="preserve">es dans les réglementations </w:t>
            </w:r>
            <w:r w:rsidR="00CA63A9" w:rsidRPr="003F40EF">
              <w:rPr>
                <w:rFonts w:ascii="Arial" w:hAnsi="Arial" w:cs="Arial"/>
                <w:sz w:val="18"/>
                <w:szCs w:val="18"/>
                <w:lang w:val="fr-FR"/>
              </w:rPr>
              <w:t xml:space="preserve">EPOC (Postal) </w:t>
            </w:r>
            <w:r w:rsidRPr="003F40EF">
              <w:rPr>
                <w:rFonts w:ascii="Arial" w:hAnsi="Arial" w:cs="Arial"/>
                <w:sz w:val="18"/>
                <w:szCs w:val="18"/>
                <w:lang w:val="fr-FR"/>
              </w:rPr>
              <w:t>2011 - sont</w:t>
            </w:r>
            <w:r w:rsidR="00CA63A9" w:rsidRPr="003F40EF">
              <w:rPr>
                <w:rFonts w:ascii="Arial" w:hAnsi="Arial" w:cs="Arial"/>
                <w:sz w:val="18"/>
                <w:szCs w:val="18"/>
                <w:lang w:val="fr-FR"/>
              </w:rPr>
              <w:t xml:space="preserve"> </w:t>
            </w:r>
            <w:r w:rsidRPr="003F40EF">
              <w:rPr>
                <w:rFonts w:ascii="Arial" w:hAnsi="Arial" w:cs="Arial"/>
                <w:i/>
                <w:sz w:val="18"/>
                <w:szCs w:val="18"/>
                <w:lang w:val="fr-FR"/>
              </w:rPr>
              <w:t xml:space="preserve">obligatoires pour le monopole postal désigné mais peut être fourni par d’autres fournisseurs </w:t>
            </w:r>
            <w:r w:rsidR="00CA63A9" w:rsidRPr="003F40EF">
              <w:rPr>
                <w:rFonts w:ascii="Arial" w:hAnsi="Arial" w:cs="Arial"/>
                <w:i/>
                <w:sz w:val="18"/>
                <w:szCs w:val="18"/>
                <w:lang w:val="fr-FR"/>
              </w:rPr>
              <w:t xml:space="preserve"> </w:t>
            </w:r>
          </w:p>
        </w:tc>
        <w:tc>
          <w:tcPr>
            <w:tcW w:w="3330" w:type="dxa"/>
          </w:tcPr>
          <w:p w:rsidR="00CA63A9" w:rsidRPr="003F40EF" w:rsidRDefault="0074486B"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EPOC</w:t>
            </w:r>
            <w:r w:rsidR="00CA63A9" w:rsidRPr="003F40EF">
              <w:rPr>
                <w:rFonts w:ascii="Arial" w:hAnsi="Arial" w:cs="Arial"/>
                <w:sz w:val="18"/>
                <w:szCs w:val="18"/>
                <w:lang w:val="fr-FR"/>
              </w:rPr>
              <w:t xml:space="preserve"> 2010 – </w:t>
            </w:r>
            <w:r w:rsidR="00C95808" w:rsidRPr="003F40EF">
              <w:rPr>
                <w:rFonts w:ascii="Arial" w:hAnsi="Arial" w:cs="Arial"/>
                <w:sz w:val="18"/>
                <w:szCs w:val="18"/>
                <w:lang w:val="fr-FR"/>
              </w:rPr>
              <w:t>"Licence individuelle" applicable au-delà des SUP pour inclure le réseau et les services de contenu des réglementations EPOC (Licences) de 2011 - fournir les critères et conditions de licence.</w:t>
            </w:r>
          </w:p>
        </w:tc>
        <w:tc>
          <w:tcPr>
            <w:tcW w:w="2970" w:type="dxa"/>
          </w:tcPr>
          <w:p w:rsidR="00CA63A9" w:rsidRPr="003F40EF" w:rsidRDefault="0074486B"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EPOC</w:t>
            </w:r>
            <w:r w:rsidR="00CA63A9" w:rsidRPr="003F40EF">
              <w:rPr>
                <w:rFonts w:ascii="Arial" w:hAnsi="Arial" w:cs="Arial"/>
                <w:sz w:val="18"/>
                <w:szCs w:val="18"/>
                <w:lang w:val="fr-FR"/>
              </w:rPr>
              <w:t xml:space="preserve"> 2010 and </w:t>
            </w:r>
            <w:r w:rsidRPr="003F40EF">
              <w:rPr>
                <w:rFonts w:ascii="Arial" w:hAnsi="Arial" w:cs="Arial"/>
                <w:sz w:val="18"/>
                <w:szCs w:val="18"/>
                <w:lang w:val="fr-FR"/>
              </w:rPr>
              <w:t xml:space="preserve">l’Autorité réglementaire des télécommunications de la </w:t>
            </w:r>
            <w:r w:rsidR="00CA63A9" w:rsidRPr="003F40EF">
              <w:rPr>
                <w:rFonts w:ascii="Arial" w:hAnsi="Arial" w:cs="Arial"/>
                <w:sz w:val="18"/>
                <w:szCs w:val="18"/>
                <w:lang w:val="fr-FR"/>
              </w:rPr>
              <w:t>T</w:t>
            </w:r>
            <w:r w:rsidRPr="003F40EF">
              <w:rPr>
                <w:rFonts w:ascii="Arial" w:hAnsi="Arial" w:cs="Arial"/>
                <w:sz w:val="18"/>
                <w:szCs w:val="18"/>
                <w:lang w:val="fr-FR"/>
              </w:rPr>
              <w:t xml:space="preserve">anzanie </w:t>
            </w:r>
            <w:r w:rsidR="00CA63A9" w:rsidRPr="003F40EF">
              <w:rPr>
                <w:rFonts w:ascii="Arial" w:hAnsi="Arial" w:cs="Arial"/>
                <w:sz w:val="18"/>
                <w:szCs w:val="18"/>
                <w:lang w:val="fr-FR"/>
              </w:rPr>
              <w:t xml:space="preserve">(TCRA) </w:t>
            </w:r>
          </w:p>
          <w:p w:rsidR="00CA63A9" w:rsidRPr="003F40EF" w:rsidRDefault="00C95808" w:rsidP="00C95808">
            <w:pPr>
              <w:pStyle w:val="ListParagraph"/>
              <w:numPr>
                <w:ilvl w:val="0"/>
                <w:numId w:val="8"/>
              </w:numPr>
              <w:spacing w:before="60" w:after="60"/>
              <w:contextualSpacing w:val="0"/>
              <w:jc w:val="both"/>
              <w:rPr>
                <w:rFonts w:ascii="Arial" w:hAnsi="Arial" w:cs="Arial"/>
                <w:sz w:val="18"/>
                <w:szCs w:val="18"/>
                <w:lang w:val="fr-FR"/>
              </w:rPr>
            </w:pPr>
            <w:r w:rsidRPr="003F40EF">
              <w:rPr>
                <w:rFonts w:ascii="Arial" w:hAnsi="Arial" w:cs="Arial"/>
                <w:sz w:val="18"/>
                <w:szCs w:val="18"/>
                <w:lang w:val="fr-FR"/>
              </w:rPr>
              <w:t xml:space="preserve">réglemente les services postaux et de courrier. TCRA </w:t>
            </w:r>
            <w:r w:rsidRPr="003F40EF">
              <w:rPr>
                <w:rFonts w:ascii="Arial" w:hAnsi="Arial" w:cs="Arial"/>
                <w:i/>
                <w:sz w:val="18"/>
                <w:szCs w:val="18"/>
                <w:lang w:val="fr-FR"/>
              </w:rPr>
              <w:t xml:space="preserve">n'est pas un </w:t>
            </w:r>
            <w:r w:rsidRPr="003F40EF">
              <w:rPr>
                <w:rFonts w:ascii="Arial" w:hAnsi="Arial" w:cs="Arial"/>
                <w:i/>
                <w:sz w:val="18"/>
                <w:szCs w:val="18"/>
                <w:lang w:val="fr-FR"/>
              </w:rPr>
              <w:lastRenderedPageBreak/>
              <w:t>fournisseur de services ou n'a de comptes à rendre à aucun fournisseur.</w:t>
            </w:r>
          </w:p>
        </w:tc>
      </w:tr>
      <w:tr w:rsidR="00CA63A9" w:rsidRPr="003F40EF" w:rsidTr="00CA63A9">
        <w:tc>
          <w:tcPr>
            <w:tcW w:w="1710" w:type="dxa"/>
          </w:tcPr>
          <w:p w:rsidR="00CA63A9" w:rsidRPr="003F40EF" w:rsidRDefault="00355A80"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lastRenderedPageBreak/>
              <w:t>Zambie</w:t>
            </w:r>
          </w:p>
        </w:tc>
        <w:tc>
          <w:tcPr>
            <w:tcW w:w="3665" w:type="dxa"/>
          </w:tcPr>
          <w:p w:rsidR="00CA63A9"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sur les services postaux</w:t>
            </w:r>
            <w:r w:rsidR="00CA63A9" w:rsidRPr="003F40EF">
              <w:rPr>
                <w:rFonts w:ascii="Arial" w:hAnsi="Arial" w:cs="Arial"/>
                <w:sz w:val="18"/>
                <w:szCs w:val="18"/>
                <w:lang w:val="fr-FR"/>
              </w:rPr>
              <w:t xml:space="preserve"> 2009 </w:t>
            </w:r>
            <w:bookmarkStart w:id="0" w:name="_GoBack"/>
            <w:bookmarkEnd w:id="0"/>
          </w:p>
          <w:p w:rsidR="00F7757E" w:rsidRPr="003F40EF" w:rsidRDefault="00F7757E" w:rsidP="00F7757E">
            <w:pPr>
              <w:spacing w:before="60" w:after="60"/>
              <w:jc w:val="both"/>
              <w:rPr>
                <w:rFonts w:ascii="Arial" w:hAnsi="Arial" w:cs="Arial"/>
                <w:sz w:val="18"/>
                <w:szCs w:val="18"/>
                <w:lang w:val="fr-FR"/>
              </w:rPr>
            </w:pPr>
            <w:r w:rsidRPr="003F40EF">
              <w:rPr>
                <w:rFonts w:ascii="Arial" w:hAnsi="Arial" w:cs="Arial"/>
                <w:sz w:val="18"/>
                <w:szCs w:val="18"/>
                <w:lang w:val="fr-FR"/>
              </w:rPr>
              <w:t>S.4 (2) fonctions de l'Autorité (</w:t>
            </w:r>
            <w:r w:rsidR="0074486B" w:rsidRPr="003F40EF">
              <w:rPr>
                <w:rFonts w:ascii="Arial" w:hAnsi="Arial" w:cs="Arial"/>
                <w:sz w:val="18"/>
                <w:szCs w:val="18"/>
                <w:lang w:val="fr-FR"/>
              </w:rPr>
              <w:t>établit la</w:t>
            </w:r>
            <w:r w:rsidRPr="003F40EF">
              <w:rPr>
                <w:rFonts w:ascii="Arial" w:hAnsi="Arial" w:cs="Arial"/>
                <w:sz w:val="18"/>
                <w:szCs w:val="18"/>
                <w:lang w:val="fr-FR"/>
              </w:rPr>
              <w:t xml:space="preserve"> Zambia Information and Communications Technology Authority - ZICTA) : </w:t>
            </w:r>
          </w:p>
          <w:p w:rsidR="00F7757E" w:rsidRPr="003F40EF" w:rsidRDefault="00F7757E" w:rsidP="00F7757E">
            <w:pPr>
              <w:spacing w:before="60" w:after="60"/>
              <w:jc w:val="both"/>
              <w:rPr>
                <w:rFonts w:ascii="Arial" w:hAnsi="Arial" w:cs="Arial"/>
                <w:sz w:val="18"/>
                <w:szCs w:val="18"/>
                <w:lang w:val="fr-FR"/>
              </w:rPr>
            </w:pPr>
            <w:r w:rsidRPr="003F40EF">
              <w:rPr>
                <w:rFonts w:ascii="Arial" w:hAnsi="Arial" w:cs="Arial"/>
                <w:sz w:val="18"/>
                <w:szCs w:val="18"/>
                <w:lang w:val="fr-FR"/>
              </w:rPr>
              <w:t xml:space="preserve">(c) stimuler et assurer une concurrence loyale dans la fourniture de services postaux et </w:t>
            </w:r>
            <w:r w:rsidR="008C4E2D" w:rsidRPr="003F40EF">
              <w:rPr>
                <w:rFonts w:ascii="Arial" w:hAnsi="Arial" w:cs="Arial"/>
                <w:sz w:val="18"/>
                <w:szCs w:val="18"/>
                <w:lang w:val="fr-FR"/>
              </w:rPr>
              <w:t>de courrier</w:t>
            </w:r>
            <w:r w:rsidRPr="003F40EF">
              <w:rPr>
                <w:rFonts w:ascii="Arial" w:hAnsi="Arial" w:cs="Arial"/>
                <w:sz w:val="18"/>
                <w:szCs w:val="18"/>
                <w:lang w:val="fr-FR"/>
              </w:rPr>
              <w:t>.</w:t>
            </w:r>
          </w:p>
          <w:p w:rsidR="00F7757E" w:rsidRPr="003F40EF" w:rsidRDefault="00F7757E" w:rsidP="00F7757E">
            <w:pPr>
              <w:spacing w:before="60" w:after="60"/>
              <w:jc w:val="both"/>
              <w:rPr>
                <w:rFonts w:ascii="Arial" w:hAnsi="Arial" w:cs="Arial"/>
                <w:sz w:val="18"/>
                <w:szCs w:val="18"/>
                <w:lang w:val="fr-FR"/>
              </w:rPr>
            </w:pPr>
          </w:p>
        </w:tc>
        <w:tc>
          <w:tcPr>
            <w:tcW w:w="3355" w:type="dxa"/>
          </w:tcPr>
          <w:p w:rsidR="00F7757E" w:rsidRPr="003F40EF" w:rsidRDefault="00F7757E" w:rsidP="00F7757E">
            <w:pPr>
              <w:spacing w:before="60" w:after="60"/>
              <w:ind w:left="76"/>
              <w:jc w:val="both"/>
              <w:rPr>
                <w:rFonts w:ascii="Arial" w:hAnsi="Arial" w:cs="Arial"/>
                <w:sz w:val="18"/>
                <w:szCs w:val="18"/>
                <w:lang w:val="fr-FR"/>
              </w:rPr>
            </w:pPr>
            <w:r w:rsidRPr="003F40EF">
              <w:rPr>
                <w:rFonts w:ascii="Arial" w:hAnsi="Arial" w:cs="Arial"/>
                <w:sz w:val="18"/>
                <w:szCs w:val="18"/>
                <w:lang w:val="fr-FR"/>
              </w:rPr>
              <w:t>Loi de 2009 sur les services posta</w:t>
            </w:r>
            <w:r w:rsidR="0074486B" w:rsidRPr="003F40EF">
              <w:rPr>
                <w:rFonts w:ascii="Arial" w:hAnsi="Arial" w:cs="Arial"/>
                <w:sz w:val="18"/>
                <w:szCs w:val="18"/>
                <w:lang w:val="fr-FR"/>
              </w:rPr>
              <w:t>ux</w:t>
            </w:r>
          </w:p>
          <w:p w:rsidR="00F7757E" w:rsidRPr="003F40EF" w:rsidRDefault="0074486B" w:rsidP="00F7757E">
            <w:pPr>
              <w:spacing w:before="60" w:after="60"/>
              <w:ind w:left="76"/>
              <w:jc w:val="both"/>
              <w:rPr>
                <w:rFonts w:ascii="Arial" w:hAnsi="Arial" w:cs="Arial"/>
                <w:sz w:val="18"/>
                <w:szCs w:val="18"/>
                <w:lang w:val="fr-FR"/>
              </w:rPr>
            </w:pPr>
            <w:r w:rsidRPr="003F40EF">
              <w:rPr>
                <w:rFonts w:ascii="Arial" w:hAnsi="Arial" w:cs="Arial"/>
                <w:sz w:val="18"/>
                <w:szCs w:val="18"/>
                <w:lang w:val="fr-FR"/>
              </w:rPr>
              <w:t>S. 1 - SUP</w:t>
            </w:r>
            <w:r w:rsidR="00F7757E" w:rsidRPr="003F40EF">
              <w:rPr>
                <w:rFonts w:ascii="Arial" w:hAnsi="Arial" w:cs="Arial"/>
                <w:sz w:val="18"/>
                <w:szCs w:val="18"/>
                <w:lang w:val="fr-FR"/>
              </w:rPr>
              <w:t xml:space="preserve"> - à définir dans la licence. </w:t>
            </w:r>
          </w:p>
          <w:p w:rsidR="00F7757E" w:rsidRPr="003F40EF" w:rsidRDefault="00F7757E" w:rsidP="00F7757E">
            <w:pPr>
              <w:spacing w:before="60" w:after="60"/>
              <w:ind w:left="76"/>
              <w:jc w:val="both"/>
              <w:rPr>
                <w:rFonts w:ascii="Arial" w:hAnsi="Arial" w:cs="Arial"/>
                <w:sz w:val="18"/>
                <w:szCs w:val="18"/>
                <w:lang w:val="fr-FR"/>
              </w:rPr>
            </w:pPr>
            <w:r w:rsidRPr="003F40EF">
              <w:rPr>
                <w:rFonts w:ascii="Arial" w:hAnsi="Arial" w:cs="Arial"/>
                <w:sz w:val="18"/>
                <w:szCs w:val="18"/>
                <w:lang w:val="fr-FR"/>
              </w:rPr>
              <w:t>S. 24 - Zambia Postal Services Corporation ou tout autre détenteur doit se conformer aux conditions spécifiées d</w:t>
            </w:r>
            <w:r w:rsidR="0074486B" w:rsidRPr="003F40EF">
              <w:rPr>
                <w:rFonts w:ascii="Arial" w:hAnsi="Arial" w:cs="Arial"/>
                <w:sz w:val="18"/>
                <w:szCs w:val="18"/>
                <w:lang w:val="fr-FR"/>
              </w:rPr>
              <w:t>ans la licence pour réaliser le SUP</w:t>
            </w:r>
            <w:r w:rsidRPr="003F40EF">
              <w:rPr>
                <w:rFonts w:ascii="Arial" w:hAnsi="Arial" w:cs="Arial"/>
                <w:sz w:val="18"/>
                <w:szCs w:val="18"/>
                <w:lang w:val="fr-FR"/>
              </w:rPr>
              <w:t xml:space="preserve">. </w:t>
            </w:r>
          </w:p>
          <w:p w:rsidR="00F7757E" w:rsidRPr="003F40EF" w:rsidRDefault="00F7757E" w:rsidP="00F7757E">
            <w:pPr>
              <w:spacing w:before="60" w:after="60"/>
              <w:ind w:left="76"/>
              <w:jc w:val="both"/>
              <w:rPr>
                <w:rFonts w:ascii="Arial" w:hAnsi="Arial" w:cs="Arial"/>
                <w:sz w:val="18"/>
                <w:szCs w:val="18"/>
                <w:lang w:val="fr-FR"/>
              </w:rPr>
            </w:pPr>
          </w:p>
        </w:tc>
        <w:tc>
          <w:tcPr>
            <w:tcW w:w="3330" w:type="dxa"/>
          </w:tcPr>
          <w:p w:rsidR="00CA63A9" w:rsidRPr="003F40EF" w:rsidRDefault="0074486B"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Loi sur les services postaux </w:t>
            </w:r>
            <w:r w:rsidR="00CA63A9" w:rsidRPr="003F40EF">
              <w:rPr>
                <w:rFonts w:ascii="Arial" w:hAnsi="Arial" w:cs="Arial"/>
                <w:sz w:val="18"/>
                <w:szCs w:val="18"/>
                <w:lang w:val="fr-FR"/>
              </w:rPr>
              <w:t>2009</w:t>
            </w:r>
          </w:p>
          <w:p w:rsidR="00CA63A9" w:rsidRPr="003F40EF" w:rsidRDefault="00CA63A9"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S. 21 – licen</w:t>
            </w:r>
            <w:r w:rsidR="0074486B" w:rsidRPr="003F40EF">
              <w:rPr>
                <w:rFonts w:ascii="Arial" w:hAnsi="Arial" w:cs="Arial"/>
                <w:sz w:val="18"/>
                <w:szCs w:val="18"/>
                <w:lang w:val="fr-FR"/>
              </w:rPr>
              <w:t>ce pour les domaines réservés</w:t>
            </w:r>
          </w:p>
          <w:p w:rsidR="00CA63A9" w:rsidRPr="003F40EF" w:rsidRDefault="00CA63A9" w:rsidP="0074486B">
            <w:pPr>
              <w:spacing w:before="60" w:after="60"/>
              <w:ind w:left="76"/>
              <w:jc w:val="both"/>
              <w:rPr>
                <w:rFonts w:ascii="Arial" w:hAnsi="Arial" w:cs="Arial"/>
                <w:sz w:val="18"/>
                <w:szCs w:val="18"/>
                <w:lang w:val="fr-FR"/>
              </w:rPr>
            </w:pPr>
          </w:p>
        </w:tc>
        <w:tc>
          <w:tcPr>
            <w:tcW w:w="2970" w:type="dxa"/>
          </w:tcPr>
          <w:p w:rsidR="00CA63A9" w:rsidRPr="003F40EF" w:rsidRDefault="0074486B"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Loi sur les services postaux </w:t>
            </w:r>
            <w:r w:rsidR="00CA63A9" w:rsidRPr="003F40EF">
              <w:rPr>
                <w:rFonts w:ascii="Arial" w:hAnsi="Arial" w:cs="Arial"/>
                <w:sz w:val="18"/>
                <w:szCs w:val="18"/>
                <w:lang w:val="fr-FR"/>
              </w:rPr>
              <w:t>2009</w:t>
            </w:r>
          </w:p>
          <w:p w:rsidR="00CA63A9" w:rsidRPr="003F40EF" w:rsidRDefault="00CA63A9" w:rsidP="00CA63A9">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 xml:space="preserve">S.3 </w:t>
            </w:r>
            <w:r w:rsidR="0074486B" w:rsidRPr="003F40EF">
              <w:rPr>
                <w:rFonts w:ascii="Arial" w:hAnsi="Arial" w:cs="Arial"/>
                <w:sz w:val="18"/>
                <w:szCs w:val="18"/>
                <w:lang w:val="fr-FR"/>
              </w:rPr>
              <w:t>désigne ZICTA comme organisme indépendant de réglementation des services postaux.</w:t>
            </w:r>
          </w:p>
          <w:p w:rsidR="00F7757E" w:rsidRPr="003F40EF" w:rsidRDefault="00F7757E" w:rsidP="0074486B">
            <w:pPr>
              <w:pStyle w:val="ListParagraph"/>
              <w:numPr>
                <w:ilvl w:val="0"/>
                <w:numId w:val="8"/>
              </w:numPr>
              <w:spacing w:before="60" w:after="60"/>
              <w:ind w:left="256" w:hanging="180"/>
              <w:contextualSpacing w:val="0"/>
              <w:jc w:val="both"/>
              <w:rPr>
                <w:rFonts w:ascii="Arial" w:hAnsi="Arial" w:cs="Arial"/>
                <w:sz w:val="18"/>
                <w:szCs w:val="18"/>
                <w:lang w:val="fr-FR"/>
              </w:rPr>
            </w:pPr>
            <w:r w:rsidRPr="003F40EF">
              <w:rPr>
                <w:rFonts w:ascii="Arial" w:hAnsi="Arial" w:cs="Arial"/>
                <w:sz w:val="18"/>
                <w:szCs w:val="18"/>
                <w:lang w:val="fr-FR"/>
              </w:rPr>
              <w:t>Règlement sur les services postaux (général) 2016</w:t>
            </w:r>
          </w:p>
          <w:p w:rsidR="00F7757E" w:rsidRPr="003F40EF" w:rsidRDefault="00F7757E" w:rsidP="00F7757E">
            <w:pPr>
              <w:spacing w:before="60" w:after="60"/>
              <w:ind w:left="76"/>
              <w:jc w:val="both"/>
              <w:rPr>
                <w:rFonts w:ascii="Arial" w:hAnsi="Arial" w:cs="Arial"/>
                <w:sz w:val="18"/>
                <w:szCs w:val="18"/>
                <w:lang w:val="fr-FR"/>
              </w:rPr>
            </w:pPr>
          </w:p>
        </w:tc>
      </w:tr>
      <w:tr w:rsidR="00CA63A9" w:rsidRPr="003F40EF" w:rsidTr="00CA63A9">
        <w:tc>
          <w:tcPr>
            <w:tcW w:w="1710" w:type="dxa"/>
          </w:tcPr>
          <w:p w:rsidR="00CA63A9" w:rsidRPr="003F40EF" w:rsidRDefault="00CA63A9" w:rsidP="00CA63A9">
            <w:pPr>
              <w:spacing w:before="60" w:after="60" w:line="276" w:lineRule="auto"/>
              <w:jc w:val="both"/>
              <w:rPr>
                <w:rFonts w:ascii="Arial" w:hAnsi="Arial" w:cs="Arial"/>
                <w:b/>
                <w:sz w:val="19"/>
                <w:szCs w:val="19"/>
                <w:lang w:val="fr-FR"/>
              </w:rPr>
            </w:pPr>
            <w:r w:rsidRPr="003F40EF">
              <w:rPr>
                <w:rFonts w:ascii="Arial" w:hAnsi="Arial" w:cs="Arial"/>
                <w:b/>
                <w:sz w:val="19"/>
                <w:szCs w:val="19"/>
                <w:lang w:val="fr-FR"/>
              </w:rPr>
              <w:t>Zimbabwe</w:t>
            </w:r>
          </w:p>
        </w:tc>
        <w:tc>
          <w:tcPr>
            <w:tcW w:w="3665" w:type="dxa"/>
          </w:tcPr>
          <w:p w:rsidR="0074486B"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Loi sur la concurrence [chap. 14:28]. </w:t>
            </w:r>
          </w:p>
          <w:p w:rsidR="0074486B"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Loi de 2001 sur les postes et télécommunications</w:t>
            </w:r>
          </w:p>
          <w:p w:rsidR="0074486B"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 xml:space="preserve">S. 4. Fonctions et pouvoirs de l'autorité (Postal and Telecommunication Regulations Authority - POTRAZ) : </w:t>
            </w:r>
          </w:p>
          <w:p w:rsidR="0074486B"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1) .... h) maintenir et promouvoir une concurrence effective entre les personnes fournissant des services postaux et de télécommunication et toutes les activités qui s'y rattachent.</w:t>
            </w:r>
          </w:p>
          <w:p w:rsidR="00CA63A9" w:rsidRPr="003F40EF" w:rsidRDefault="00CA63A9" w:rsidP="00CA63A9">
            <w:pPr>
              <w:spacing w:before="60" w:after="60" w:line="276" w:lineRule="auto"/>
              <w:jc w:val="both"/>
              <w:rPr>
                <w:rFonts w:ascii="Arial" w:hAnsi="Arial" w:cs="Arial"/>
                <w:sz w:val="18"/>
                <w:szCs w:val="18"/>
                <w:lang w:val="fr-FR"/>
              </w:rPr>
            </w:pPr>
          </w:p>
        </w:tc>
        <w:tc>
          <w:tcPr>
            <w:tcW w:w="3355" w:type="dxa"/>
          </w:tcPr>
          <w:p w:rsidR="00CA63A9" w:rsidRPr="003F40EF" w:rsidRDefault="0074486B" w:rsidP="0074486B">
            <w:pPr>
              <w:spacing w:before="60" w:after="60" w:line="276" w:lineRule="auto"/>
              <w:jc w:val="both"/>
              <w:rPr>
                <w:rFonts w:ascii="Arial" w:hAnsi="Arial" w:cs="Arial"/>
                <w:sz w:val="18"/>
                <w:szCs w:val="18"/>
                <w:lang w:val="fr-FR"/>
              </w:rPr>
            </w:pPr>
            <w:r w:rsidRPr="003F40EF">
              <w:rPr>
                <w:rFonts w:ascii="Arial" w:hAnsi="Arial" w:cs="Arial"/>
                <w:sz w:val="18"/>
                <w:szCs w:val="18"/>
                <w:lang w:val="fr-FR"/>
              </w:rPr>
              <w:t>SUP</w:t>
            </w:r>
            <w:r w:rsidR="00CA63A9" w:rsidRPr="003F40EF">
              <w:rPr>
                <w:rFonts w:ascii="Arial" w:hAnsi="Arial" w:cs="Arial"/>
                <w:sz w:val="18"/>
                <w:szCs w:val="18"/>
                <w:lang w:val="fr-FR"/>
              </w:rPr>
              <w:t xml:space="preserve"> </w:t>
            </w:r>
            <w:r w:rsidRPr="003F40EF">
              <w:rPr>
                <w:rFonts w:ascii="Arial" w:hAnsi="Arial" w:cs="Arial"/>
                <w:sz w:val="18"/>
                <w:szCs w:val="18"/>
                <w:lang w:val="fr-FR"/>
              </w:rPr>
              <w:t>–</w:t>
            </w:r>
            <w:r w:rsidR="00CA63A9" w:rsidRPr="003F40EF">
              <w:rPr>
                <w:rFonts w:ascii="Arial" w:hAnsi="Arial" w:cs="Arial"/>
                <w:sz w:val="18"/>
                <w:szCs w:val="18"/>
                <w:lang w:val="fr-FR"/>
              </w:rPr>
              <w:t xml:space="preserve"> </w:t>
            </w:r>
            <w:r w:rsidRPr="003F40EF">
              <w:rPr>
                <w:rFonts w:ascii="Arial" w:hAnsi="Arial" w:cs="Arial"/>
                <w:sz w:val="18"/>
                <w:szCs w:val="18"/>
                <w:lang w:val="fr-FR"/>
              </w:rPr>
              <w:t>Non défini</w:t>
            </w:r>
            <w:r w:rsidR="00CA63A9" w:rsidRPr="003F40EF">
              <w:rPr>
                <w:rFonts w:ascii="Arial" w:hAnsi="Arial" w:cs="Arial"/>
                <w:sz w:val="18"/>
                <w:szCs w:val="18"/>
                <w:lang w:val="fr-FR"/>
              </w:rPr>
              <w:t xml:space="preserve"> </w:t>
            </w:r>
          </w:p>
        </w:tc>
        <w:tc>
          <w:tcPr>
            <w:tcW w:w="3330" w:type="dxa"/>
          </w:tcPr>
          <w:p w:rsidR="0074486B" w:rsidRPr="003F40EF" w:rsidRDefault="0074486B" w:rsidP="0074486B">
            <w:pPr>
              <w:pStyle w:val="BodyText2"/>
              <w:numPr>
                <w:ilvl w:val="0"/>
                <w:numId w:val="0"/>
              </w:numPr>
              <w:ind w:left="567"/>
              <w:rPr>
                <w:lang w:val="fr-FR"/>
              </w:rPr>
            </w:pPr>
            <w:r w:rsidRPr="003F40EF">
              <w:rPr>
                <w:lang w:val="fr-FR"/>
              </w:rPr>
              <w:t xml:space="preserve">Règlement sur les postes et télécommunications (services postaux), 2001 </w:t>
            </w:r>
          </w:p>
          <w:p w:rsidR="0074486B" w:rsidRPr="003F40EF" w:rsidRDefault="0074486B" w:rsidP="0074486B">
            <w:pPr>
              <w:pStyle w:val="BodyText2"/>
              <w:numPr>
                <w:ilvl w:val="0"/>
                <w:numId w:val="0"/>
              </w:numPr>
              <w:ind w:left="567"/>
              <w:rPr>
                <w:rFonts w:ascii="Arial" w:hAnsi="Arial" w:cs="Arial"/>
                <w:szCs w:val="18"/>
                <w:lang w:val="fr-FR"/>
              </w:rPr>
            </w:pPr>
            <w:r w:rsidRPr="003F40EF">
              <w:rPr>
                <w:lang w:val="fr-FR"/>
              </w:rPr>
              <w:t>S. 4 - Licence de service postal (générale) - Actuellement, Zimbabwe Post (ZIMPOST) est le DPD et le POTRAZ n'examinera aucune demande pour cette catégorie de licence jusqu'à nouvel ordre.</w:t>
            </w:r>
          </w:p>
        </w:tc>
        <w:tc>
          <w:tcPr>
            <w:tcW w:w="2970" w:type="dxa"/>
          </w:tcPr>
          <w:p w:rsidR="00CA63A9" w:rsidRPr="003F40EF" w:rsidRDefault="0074486B" w:rsidP="00CA63A9">
            <w:pPr>
              <w:spacing w:before="60" w:after="60" w:line="276" w:lineRule="auto"/>
              <w:jc w:val="both"/>
              <w:rPr>
                <w:rFonts w:ascii="Arial" w:hAnsi="Arial" w:cs="Arial"/>
                <w:sz w:val="18"/>
                <w:szCs w:val="18"/>
                <w:lang w:val="fr-FR"/>
              </w:rPr>
            </w:pPr>
            <w:r w:rsidRPr="003F40EF">
              <w:rPr>
                <w:rFonts w:ascii="Arial" w:hAnsi="Arial" w:cs="Arial"/>
                <w:sz w:val="18"/>
                <w:szCs w:val="18"/>
                <w:lang w:val="fr-FR"/>
              </w:rPr>
              <w:t>POTRAZ - régulateur des opérateurs de services postaux et de courrier</w:t>
            </w:r>
          </w:p>
        </w:tc>
      </w:tr>
    </w:tbl>
    <w:p w:rsidR="00CA63A9" w:rsidRPr="0074486B" w:rsidRDefault="00CA63A9" w:rsidP="00CA63A9">
      <w:pPr>
        <w:rPr>
          <w:lang w:val="fr-FR"/>
        </w:rPr>
        <w:sectPr w:rsidR="00CA63A9" w:rsidRPr="0074486B" w:rsidSect="00B24F84">
          <w:pgSz w:w="16838" w:h="11906" w:orient="landscape"/>
          <w:pgMar w:top="1440" w:right="1440" w:bottom="1440" w:left="1440" w:header="720" w:footer="720" w:gutter="0"/>
          <w:cols w:space="720"/>
          <w:docGrid w:linePitch="360"/>
        </w:sectPr>
      </w:pPr>
    </w:p>
    <w:p w:rsidR="00B24F84" w:rsidRPr="0074486B" w:rsidRDefault="00B24F84" w:rsidP="00B24F84">
      <w:pPr>
        <w:rPr>
          <w:lang w:val="fr-FR"/>
        </w:rPr>
      </w:pPr>
    </w:p>
    <w:sectPr w:rsidR="00B24F84" w:rsidRPr="0074486B" w:rsidSect="009B6921">
      <w:pgSz w:w="11906" w:h="16838"/>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B6D45" w16cid:durableId="1E4F58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0B" w:rsidRDefault="0082670B" w:rsidP="00B1428E">
      <w:pPr>
        <w:spacing w:after="0" w:line="240" w:lineRule="auto"/>
      </w:pPr>
      <w:r>
        <w:separator/>
      </w:r>
    </w:p>
  </w:endnote>
  <w:endnote w:type="continuationSeparator" w:id="0">
    <w:p w:rsidR="0082670B" w:rsidRDefault="0082670B" w:rsidP="00B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157856"/>
      <w:docPartObj>
        <w:docPartGallery w:val="Page Numbers (Bottom of Page)"/>
        <w:docPartUnique/>
      </w:docPartObj>
    </w:sdtPr>
    <w:sdtEndPr>
      <w:rPr>
        <w:noProof/>
      </w:rPr>
    </w:sdtEndPr>
    <w:sdtContent>
      <w:p w:rsidR="00CA63A9" w:rsidRDefault="00CA63A9">
        <w:pPr>
          <w:pStyle w:val="Footer"/>
          <w:jc w:val="right"/>
        </w:pPr>
        <w:r>
          <w:fldChar w:fldCharType="begin"/>
        </w:r>
        <w:r>
          <w:instrText xml:space="preserve"> PAGE   \* MERGEFORMAT </w:instrText>
        </w:r>
        <w:r>
          <w:fldChar w:fldCharType="separate"/>
        </w:r>
        <w:r w:rsidR="003F40EF">
          <w:rPr>
            <w:noProof/>
          </w:rPr>
          <w:t>1</w:t>
        </w:r>
        <w:r>
          <w:rPr>
            <w:noProof/>
          </w:rPr>
          <w:fldChar w:fldCharType="end"/>
        </w:r>
      </w:p>
    </w:sdtContent>
  </w:sdt>
  <w:p w:rsidR="00CA63A9" w:rsidRDefault="00CA6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0B" w:rsidRDefault="0082670B" w:rsidP="00B1428E">
      <w:pPr>
        <w:spacing w:after="0" w:line="240" w:lineRule="auto"/>
      </w:pPr>
      <w:r>
        <w:separator/>
      </w:r>
    </w:p>
  </w:footnote>
  <w:footnote w:type="continuationSeparator" w:id="0">
    <w:p w:rsidR="0082670B" w:rsidRDefault="0082670B" w:rsidP="00B1428E">
      <w:pPr>
        <w:spacing w:after="0" w:line="240" w:lineRule="auto"/>
      </w:pPr>
      <w:r>
        <w:continuationSeparator/>
      </w:r>
    </w:p>
  </w:footnote>
  <w:footnote w:id="1">
    <w:p w:rsidR="00284AF6" w:rsidRPr="00E14764" w:rsidRDefault="00284AF6" w:rsidP="00284AF6">
      <w:pPr>
        <w:pStyle w:val="FootnoteText"/>
        <w:rPr>
          <w:lang w:val="fr-CH"/>
        </w:rPr>
      </w:pPr>
      <w:r>
        <w:rPr>
          <w:rStyle w:val="FootnoteReference"/>
        </w:rPr>
        <w:footnoteRef/>
      </w:r>
      <w:r w:rsidRPr="00E14764">
        <w:rPr>
          <w:lang w:val="fr-CH"/>
        </w:rPr>
        <w:t xml:space="preserve"> Document WT/L/1032.</w:t>
      </w:r>
    </w:p>
  </w:footnote>
  <w:footnote w:id="2">
    <w:p w:rsidR="00284AF6" w:rsidRPr="00E14764" w:rsidRDefault="00284AF6" w:rsidP="00284AF6">
      <w:pPr>
        <w:pStyle w:val="FootnoteText"/>
        <w:rPr>
          <w:lang w:val="fr-CH"/>
        </w:rPr>
      </w:pPr>
      <w:r>
        <w:rPr>
          <w:rStyle w:val="FootnoteReference"/>
        </w:rPr>
        <w:footnoteRef/>
      </w:r>
      <w:r w:rsidRPr="00E14764">
        <w:rPr>
          <w:lang w:val="fr-CH"/>
        </w:rPr>
        <w:t xml:space="preserve"> Document WT/MIN(17)/60.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3A9" w:rsidRDefault="00672EBC">
    <w:pPr>
      <w:pStyle w:val="Header"/>
    </w:pPr>
    <w:r w:rsidRPr="00A4658B">
      <w:rPr>
        <w:rFonts w:ascii="Arial" w:hAnsi="Arial" w:cs="Arial"/>
        <w:b/>
        <w:bCs/>
        <w:sz w:val="23"/>
        <w:szCs w:val="23"/>
      </w:rPr>
      <w:t>SADC/TNF-Serv./3</w:t>
    </w:r>
    <w:r>
      <w:rPr>
        <w:rFonts w:ascii="Arial" w:hAnsi="Arial" w:cs="Arial"/>
        <w:b/>
        <w:bCs/>
        <w:sz w:val="23"/>
        <w:szCs w:val="23"/>
      </w:rPr>
      <w:t>5</w:t>
    </w:r>
    <w:r w:rsidRPr="00A4658B">
      <w:rPr>
        <w:rFonts w:ascii="Arial" w:hAnsi="Arial" w:cs="Arial"/>
        <w:b/>
        <w:bCs/>
        <w:sz w:val="23"/>
        <w:szCs w:val="23"/>
      </w:rPr>
      <w:t>/201</w:t>
    </w:r>
    <w:r>
      <w:rPr>
        <w:rFonts w:ascii="Arial" w:hAnsi="Arial" w:cs="Arial"/>
        <w:b/>
        <w:bCs/>
        <w:sz w:val="23"/>
        <w:szCs w:val="23"/>
      </w:rPr>
      <w:t>8</w:t>
    </w:r>
    <w:r w:rsidRPr="00A4658B">
      <w:rPr>
        <w:rFonts w:ascii="Arial" w:hAnsi="Arial" w:cs="Arial"/>
        <w:b/>
        <w:bCs/>
        <w:sz w:val="23"/>
        <w:szCs w:val="23"/>
      </w:rPr>
      <w:t>/</w:t>
    </w:r>
    <w:r>
      <w:rPr>
        <w:rFonts w:ascii="Arial" w:hAnsi="Arial" w:cs="Arial"/>
        <w:b/>
        <w:bCs/>
        <w:sz w:val="23"/>
        <w:szCs w:val="23"/>
      </w:rPr>
      <w:t>3</w:t>
    </w:r>
    <w:r w:rsidR="00CA63A9">
      <w:rPr>
        <w:rFonts w:ascii="Arial" w:hAnsi="Arial" w:cs="Arial"/>
        <w:b/>
        <w:bCs/>
        <w:sz w:val="23"/>
        <w:szCs w:val="23"/>
      </w:rPr>
      <w:tab/>
    </w:r>
    <w:r w:rsidR="00CA63A9">
      <w:rPr>
        <w:rFonts w:ascii="Arial" w:hAnsi="Arial" w:cs="Arial"/>
        <w:b/>
        <w:bCs/>
        <w:sz w:val="23"/>
        <w:szCs w:val="23"/>
      </w:rPr>
      <w:tab/>
    </w:r>
    <w:r w:rsidR="007E27E8">
      <w:rPr>
        <w:rFonts w:ascii="Arial" w:hAnsi="Arial" w:cs="Arial"/>
        <w:bCs/>
        <w:sz w:val="23"/>
        <w:szCs w:val="23"/>
      </w:rPr>
      <w:t>16</w:t>
    </w:r>
    <w:r w:rsidR="00CA63A9" w:rsidRPr="00B1428E">
      <w:rPr>
        <w:rFonts w:ascii="Arial" w:hAnsi="Arial" w:cs="Arial"/>
        <w:bCs/>
        <w:sz w:val="23"/>
        <w:szCs w:val="23"/>
      </w:rPr>
      <w:t>.0</w:t>
    </w:r>
    <w:r w:rsidR="007E27E8">
      <w:rPr>
        <w:rFonts w:ascii="Arial" w:hAnsi="Arial" w:cs="Arial"/>
        <w:bCs/>
        <w:sz w:val="23"/>
        <w:szCs w:val="23"/>
      </w:rPr>
      <w:t>3</w:t>
    </w:r>
    <w:r w:rsidR="00CA63A9" w:rsidRPr="00B1428E">
      <w:rPr>
        <w:rFonts w:ascii="Arial" w:hAnsi="Arial" w:cs="Arial"/>
        <w:bCs/>
        <w:sz w:val="23"/>
        <w:szCs w:val="23"/>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00D"/>
    <w:multiLevelType w:val="hybridMultilevel"/>
    <w:tmpl w:val="B91AC828"/>
    <w:lvl w:ilvl="0" w:tplc="A300BA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D47B4F"/>
    <w:multiLevelType w:val="hybridMultilevel"/>
    <w:tmpl w:val="E1C62A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D3239"/>
    <w:multiLevelType w:val="hybridMultilevel"/>
    <w:tmpl w:val="E1AA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34B25"/>
    <w:multiLevelType w:val="hybridMultilevel"/>
    <w:tmpl w:val="1646C4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71458"/>
    <w:multiLevelType w:val="hybridMultilevel"/>
    <w:tmpl w:val="9E08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C6604"/>
    <w:multiLevelType w:val="hybridMultilevel"/>
    <w:tmpl w:val="CD98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40A95"/>
    <w:multiLevelType w:val="hybridMultilevel"/>
    <w:tmpl w:val="50B2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83437"/>
    <w:multiLevelType w:val="hybridMultilevel"/>
    <w:tmpl w:val="D4CA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65277"/>
    <w:multiLevelType w:val="hybridMultilevel"/>
    <w:tmpl w:val="B834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739D"/>
    <w:multiLevelType w:val="hybridMultilevel"/>
    <w:tmpl w:val="12A481A2"/>
    <w:lvl w:ilvl="0" w:tplc="FFF04A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175D7"/>
    <w:multiLevelType w:val="hybridMultilevel"/>
    <w:tmpl w:val="1978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079BE"/>
    <w:multiLevelType w:val="hybridMultilevel"/>
    <w:tmpl w:val="605C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619FC"/>
    <w:multiLevelType w:val="hybridMultilevel"/>
    <w:tmpl w:val="24F6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5935062B"/>
    <w:multiLevelType w:val="hybridMultilevel"/>
    <w:tmpl w:val="B5E48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0068E"/>
    <w:multiLevelType w:val="hybridMultilevel"/>
    <w:tmpl w:val="875EA4B0"/>
    <w:lvl w:ilvl="0" w:tplc="85BA95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B97A5B"/>
    <w:multiLevelType w:val="hybridMultilevel"/>
    <w:tmpl w:val="96863D8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8" w15:restartNumberingAfterBreak="0">
    <w:nsid w:val="75145050"/>
    <w:multiLevelType w:val="hybridMultilevel"/>
    <w:tmpl w:val="B05A1C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74416"/>
    <w:multiLevelType w:val="hybridMultilevel"/>
    <w:tmpl w:val="616E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5"/>
  </w:num>
  <w:num w:numId="4">
    <w:abstractNumId w:val="0"/>
  </w:num>
  <w:num w:numId="5">
    <w:abstractNumId w:val="3"/>
  </w:num>
  <w:num w:numId="6">
    <w:abstractNumId w:val="9"/>
  </w:num>
  <w:num w:numId="7">
    <w:abstractNumId w:val="1"/>
  </w:num>
  <w:num w:numId="8">
    <w:abstractNumId w:val="18"/>
  </w:num>
  <w:num w:numId="9">
    <w:abstractNumId w:val="7"/>
  </w:num>
  <w:num w:numId="10">
    <w:abstractNumId w:val="5"/>
  </w:num>
  <w:num w:numId="11">
    <w:abstractNumId w:val="6"/>
  </w:num>
  <w:num w:numId="12">
    <w:abstractNumId w:val="2"/>
  </w:num>
  <w:num w:numId="13">
    <w:abstractNumId w:val="12"/>
  </w:num>
  <w:num w:numId="14">
    <w:abstractNumId w:val="10"/>
  </w:num>
  <w:num w:numId="15">
    <w:abstractNumId w:val="4"/>
  </w:num>
  <w:num w:numId="16">
    <w:abstractNumId w:val="19"/>
  </w:num>
  <w:num w:numId="17">
    <w:abstractNumId w:val="14"/>
  </w:num>
  <w:num w:numId="18">
    <w:abstractNumId w:val="1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84"/>
    <w:rsid w:val="000105D2"/>
    <w:rsid w:val="00025ACD"/>
    <w:rsid w:val="00031370"/>
    <w:rsid w:val="00045413"/>
    <w:rsid w:val="00066250"/>
    <w:rsid w:val="000665E8"/>
    <w:rsid w:val="00085C84"/>
    <w:rsid w:val="00091774"/>
    <w:rsid w:val="00092D92"/>
    <w:rsid w:val="000E5DD5"/>
    <w:rsid w:val="000F1CA5"/>
    <w:rsid w:val="000F2EA9"/>
    <w:rsid w:val="000F7737"/>
    <w:rsid w:val="00111311"/>
    <w:rsid w:val="0014370F"/>
    <w:rsid w:val="00160B66"/>
    <w:rsid w:val="00163B34"/>
    <w:rsid w:val="00171088"/>
    <w:rsid w:val="001A41D0"/>
    <w:rsid w:val="001A6A56"/>
    <w:rsid w:val="001A6E77"/>
    <w:rsid w:val="001F2D89"/>
    <w:rsid w:val="00201AE9"/>
    <w:rsid w:val="00206D42"/>
    <w:rsid w:val="002103EC"/>
    <w:rsid w:val="00230F06"/>
    <w:rsid w:val="00253ECE"/>
    <w:rsid w:val="0025787E"/>
    <w:rsid w:val="00260E49"/>
    <w:rsid w:val="002660F2"/>
    <w:rsid w:val="00284AF6"/>
    <w:rsid w:val="002B509B"/>
    <w:rsid w:val="002C2897"/>
    <w:rsid w:val="002E2FC6"/>
    <w:rsid w:val="002F5753"/>
    <w:rsid w:val="00321104"/>
    <w:rsid w:val="003224E9"/>
    <w:rsid w:val="00325126"/>
    <w:rsid w:val="00332026"/>
    <w:rsid w:val="00344B3B"/>
    <w:rsid w:val="00355A80"/>
    <w:rsid w:val="003574DB"/>
    <w:rsid w:val="00370170"/>
    <w:rsid w:val="00370A93"/>
    <w:rsid w:val="00397029"/>
    <w:rsid w:val="003A0654"/>
    <w:rsid w:val="003E2BAE"/>
    <w:rsid w:val="003E6A96"/>
    <w:rsid w:val="003F40EF"/>
    <w:rsid w:val="00421733"/>
    <w:rsid w:val="00443642"/>
    <w:rsid w:val="004B45AF"/>
    <w:rsid w:val="004C5125"/>
    <w:rsid w:val="004C7771"/>
    <w:rsid w:val="004E3AE0"/>
    <w:rsid w:val="004F54FA"/>
    <w:rsid w:val="00500DB6"/>
    <w:rsid w:val="00505638"/>
    <w:rsid w:val="00520D7F"/>
    <w:rsid w:val="005217A4"/>
    <w:rsid w:val="00534AC9"/>
    <w:rsid w:val="00537116"/>
    <w:rsid w:val="005465BA"/>
    <w:rsid w:val="00566FC7"/>
    <w:rsid w:val="00574FEB"/>
    <w:rsid w:val="00575C53"/>
    <w:rsid w:val="0058186D"/>
    <w:rsid w:val="00583037"/>
    <w:rsid w:val="00585598"/>
    <w:rsid w:val="005936A9"/>
    <w:rsid w:val="005B784B"/>
    <w:rsid w:val="005C62CB"/>
    <w:rsid w:val="005E2DCA"/>
    <w:rsid w:val="005E359A"/>
    <w:rsid w:val="005E4582"/>
    <w:rsid w:val="005F7DC1"/>
    <w:rsid w:val="00603FDA"/>
    <w:rsid w:val="00616AF1"/>
    <w:rsid w:val="006218D9"/>
    <w:rsid w:val="00637A36"/>
    <w:rsid w:val="006705F1"/>
    <w:rsid w:val="00672EBC"/>
    <w:rsid w:val="00690FE7"/>
    <w:rsid w:val="006B0506"/>
    <w:rsid w:val="006F118E"/>
    <w:rsid w:val="0070405D"/>
    <w:rsid w:val="007379EE"/>
    <w:rsid w:val="0074486B"/>
    <w:rsid w:val="00754EA2"/>
    <w:rsid w:val="007621E6"/>
    <w:rsid w:val="00784682"/>
    <w:rsid w:val="007B63AC"/>
    <w:rsid w:val="007E27E8"/>
    <w:rsid w:val="007E4AF8"/>
    <w:rsid w:val="007F0940"/>
    <w:rsid w:val="007F511A"/>
    <w:rsid w:val="00806A7A"/>
    <w:rsid w:val="00813E1C"/>
    <w:rsid w:val="0082670B"/>
    <w:rsid w:val="00834E9B"/>
    <w:rsid w:val="0084020B"/>
    <w:rsid w:val="008879C5"/>
    <w:rsid w:val="008A4B17"/>
    <w:rsid w:val="008A7934"/>
    <w:rsid w:val="008C4E2D"/>
    <w:rsid w:val="008D5402"/>
    <w:rsid w:val="008E3322"/>
    <w:rsid w:val="009040B8"/>
    <w:rsid w:val="009058F0"/>
    <w:rsid w:val="00932187"/>
    <w:rsid w:val="009366FD"/>
    <w:rsid w:val="00987387"/>
    <w:rsid w:val="009A303C"/>
    <w:rsid w:val="009B240B"/>
    <w:rsid w:val="009B369B"/>
    <w:rsid w:val="009B45C7"/>
    <w:rsid w:val="009B6921"/>
    <w:rsid w:val="009B693A"/>
    <w:rsid w:val="009E1045"/>
    <w:rsid w:val="009E45D2"/>
    <w:rsid w:val="00A2485B"/>
    <w:rsid w:val="00A3497E"/>
    <w:rsid w:val="00A724F3"/>
    <w:rsid w:val="00A73BAF"/>
    <w:rsid w:val="00A8451A"/>
    <w:rsid w:val="00A94135"/>
    <w:rsid w:val="00AB5BDB"/>
    <w:rsid w:val="00AB5C16"/>
    <w:rsid w:val="00AD1FE1"/>
    <w:rsid w:val="00AD61CC"/>
    <w:rsid w:val="00AE0EE7"/>
    <w:rsid w:val="00AF701A"/>
    <w:rsid w:val="00B01292"/>
    <w:rsid w:val="00B04548"/>
    <w:rsid w:val="00B051FC"/>
    <w:rsid w:val="00B1428E"/>
    <w:rsid w:val="00B21FF5"/>
    <w:rsid w:val="00B230AC"/>
    <w:rsid w:val="00B24F84"/>
    <w:rsid w:val="00B47D65"/>
    <w:rsid w:val="00B53BBB"/>
    <w:rsid w:val="00B86029"/>
    <w:rsid w:val="00B96808"/>
    <w:rsid w:val="00B971BC"/>
    <w:rsid w:val="00BD3F1A"/>
    <w:rsid w:val="00C046CA"/>
    <w:rsid w:val="00C05AB6"/>
    <w:rsid w:val="00C20A02"/>
    <w:rsid w:val="00C22927"/>
    <w:rsid w:val="00C410F4"/>
    <w:rsid w:val="00C65E69"/>
    <w:rsid w:val="00C67FD7"/>
    <w:rsid w:val="00C90A14"/>
    <w:rsid w:val="00C95808"/>
    <w:rsid w:val="00CA63A9"/>
    <w:rsid w:val="00CA67B0"/>
    <w:rsid w:val="00CB47C9"/>
    <w:rsid w:val="00CC0881"/>
    <w:rsid w:val="00CD31EB"/>
    <w:rsid w:val="00CE6B70"/>
    <w:rsid w:val="00D21095"/>
    <w:rsid w:val="00D264F7"/>
    <w:rsid w:val="00D40D6E"/>
    <w:rsid w:val="00D440EE"/>
    <w:rsid w:val="00D468A4"/>
    <w:rsid w:val="00D8431F"/>
    <w:rsid w:val="00D948F0"/>
    <w:rsid w:val="00DA1A2D"/>
    <w:rsid w:val="00DA6F65"/>
    <w:rsid w:val="00DD5BB6"/>
    <w:rsid w:val="00DE3D91"/>
    <w:rsid w:val="00E10439"/>
    <w:rsid w:val="00E2206B"/>
    <w:rsid w:val="00E44C7D"/>
    <w:rsid w:val="00E76818"/>
    <w:rsid w:val="00EA423E"/>
    <w:rsid w:val="00ED4904"/>
    <w:rsid w:val="00ED5EA9"/>
    <w:rsid w:val="00ED78AE"/>
    <w:rsid w:val="00EE5FEC"/>
    <w:rsid w:val="00EF1072"/>
    <w:rsid w:val="00EF48DA"/>
    <w:rsid w:val="00F144E3"/>
    <w:rsid w:val="00F14BFA"/>
    <w:rsid w:val="00F161AD"/>
    <w:rsid w:val="00F203FA"/>
    <w:rsid w:val="00F248A8"/>
    <w:rsid w:val="00F27E45"/>
    <w:rsid w:val="00F40570"/>
    <w:rsid w:val="00F5763D"/>
    <w:rsid w:val="00F726F4"/>
    <w:rsid w:val="00F7757E"/>
    <w:rsid w:val="00F905D8"/>
    <w:rsid w:val="00FB393E"/>
    <w:rsid w:val="00FC1D21"/>
    <w:rsid w:val="00FC7E7A"/>
    <w:rsid w:val="00FD51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19CB2-3A46-462F-9A6A-B0545770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uiPriority w:val="2"/>
    <w:qFormat/>
    <w:rsid w:val="00FD515E"/>
    <w:pPr>
      <w:keepNext/>
      <w:keepLines/>
      <w:numPr>
        <w:numId w:val="18"/>
      </w:numPr>
      <w:spacing w:after="240" w:line="240" w:lineRule="auto"/>
      <w:jc w:val="both"/>
      <w:outlineLvl w:val="0"/>
    </w:pPr>
    <w:rPr>
      <w:rFonts w:ascii="Verdana" w:eastAsiaTheme="majorEastAsia" w:hAnsi="Verdana" w:cstheme="majorBidi"/>
      <w:b/>
      <w:bCs/>
      <w:caps/>
      <w:color w:val="006283"/>
      <w:sz w:val="18"/>
      <w:szCs w:val="28"/>
    </w:rPr>
  </w:style>
  <w:style w:type="paragraph" w:styleId="Heading2">
    <w:name w:val="heading 2"/>
    <w:basedOn w:val="Normal"/>
    <w:next w:val="Heading3"/>
    <w:link w:val="Heading2Char"/>
    <w:uiPriority w:val="2"/>
    <w:qFormat/>
    <w:rsid w:val="00FD515E"/>
    <w:pPr>
      <w:keepNext/>
      <w:keepLines/>
      <w:numPr>
        <w:ilvl w:val="1"/>
        <w:numId w:val="18"/>
      </w:numPr>
      <w:spacing w:after="240" w:line="240" w:lineRule="auto"/>
      <w:jc w:val="both"/>
      <w:outlineLvl w:val="1"/>
    </w:pPr>
    <w:rPr>
      <w:rFonts w:ascii="Verdana" w:eastAsiaTheme="majorEastAsia" w:hAnsi="Verdana" w:cstheme="majorBidi"/>
      <w:b/>
      <w:bCs/>
      <w:color w:val="006283"/>
      <w:sz w:val="18"/>
      <w:szCs w:val="26"/>
    </w:rPr>
  </w:style>
  <w:style w:type="paragraph" w:styleId="Heading3">
    <w:name w:val="heading 3"/>
    <w:basedOn w:val="Normal"/>
    <w:next w:val="Heading4"/>
    <w:link w:val="Heading3Char"/>
    <w:uiPriority w:val="2"/>
    <w:qFormat/>
    <w:rsid w:val="00FD515E"/>
    <w:pPr>
      <w:keepNext/>
      <w:keepLines/>
      <w:numPr>
        <w:ilvl w:val="2"/>
        <w:numId w:val="18"/>
      </w:numPr>
      <w:spacing w:after="240" w:line="240" w:lineRule="auto"/>
      <w:jc w:val="both"/>
      <w:outlineLvl w:val="2"/>
    </w:pPr>
    <w:rPr>
      <w:rFonts w:ascii="Verdana" w:eastAsiaTheme="majorEastAsia" w:hAnsi="Verdana" w:cstheme="majorBidi"/>
      <w:b/>
      <w:bCs/>
      <w:color w:val="006283"/>
      <w:sz w:val="18"/>
    </w:rPr>
  </w:style>
  <w:style w:type="paragraph" w:styleId="Heading4">
    <w:name w:val="heading 4"/>
    <w:basedOn w:val="Normal"/>
    <w:next w:val="Heading5"/>
    <w:link w:val="Heading4Char"/>
    <w:uiPriority w:val="2"/>
    <w:qFormat/>
    <w:rsid w:val="00FD515E"/>
    <w:pPr>
      <w:keepNext/>
      <w:keepLines/>
      <w:numPr>
        <w:ilvl w:val="3"/>
        <w:numId w:val="18"/>
      </w:numPr>
      <w:spacing w:after="240" w:line="240" w:lineRule="auto"/>
      <w:jc w:val="both"/>
      <w:outlineLvl w:val="3"/>
    </w:pPr>
    <w:rPr>
      <w:rFonts w:ascii="Verdana" w:eastAsiaTheme="majorEastAsia" w:hAnsi="Verdana" w:cstheme="majorBidi"/>
      <w:b/>
      <w:bCs/>
      <w:iCs/>
      <w:color w:val="006283"/>
      <w:sz w:val="18"/>
    </w:rPr>
  </w:style>
  <w:style w:type="paragraph" w:styleId="Heading5">
    <w:name w:val="heading 5"/>
    <w:basedOn w:val="Normal"/>
    <w:next w:val="Heading6"/>
    <w:link w:val="Heading5Char"/>
    <w:uiPriority w:val="2"/>
    <w:qFormat/>
    <w:rsid w:val="00FD515E"/>
    <w:pPr>
      <w:keepNext/>
      <w:keepLines/>
      <w:numPr>
        <w:ilvl w:val="4"/>
        <w:numId w:val="18"/>
      </w:numPr>
      <w:spacing w:after="240" w:line="240" w:lineRule="auto"/>
      <w:jc w:val="both"/>
      <w:outlineLvl w:val="4"/>
    </w:pPr>
    <w:rPr>
      <w:rFonts w:ascii="Verdana" w:eastAsiaTheme="majorEastAsia" w:hAnsi="Verdana" w:cstheme="majorBidi"/>
      <w:b/>
      <w:color w:val="006283"/>
      <w:sz w:val="18"/>
    </w:rPr>
  </w:style>
  <w:style w:type="paragraph" w:styleId="Heading6">
    <w:name w:val="heading 6"/>
    <w:basedOn w:val="Normal"/>
    <w:next w:val="BodyText"/>
    <w:link w:val="Heading6Char"/>
    <w:uiPriority w:val="2"/>
    <w:qFormat/>
    <w:rsid w:val="00FD515E"/>
    <w:pPr>
      <w:keepNext/>
      <w:keepLines/>
      <w:numPr>
        <w:ilvl w:val="5"/>
        <w:numId w:val="18"/>
      </w:numPr>
      <w:spacing w:after="240" w:line="240" w:lineRule="auto"/>
      <w:jc w:val="both"/>
      <w:outlineLvl w:val="5"/>
    </w:pPr>
    <w:rPr>
      <w:rFonts w:ascii="Verdana" w:eastAsiaTheme="majorEastAsia" w:hAnsi="Verdana" w:cstheme="majorBidi"/>
      <w:b/>
      <w:iCs/>
      <w:color w:val="006283"/>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F84"/>
    <w:pPr>
      <w:spacing w:after="200" w:line="276" w:lineRule="auto"/>
      <w:ind w:left="720"/>
      <w:contextualSpacing/>
    </w:pPr>
  </w:style>
  <w:style w:type="paragraph" w:styleId="Header">
    <w:name w:val="header"/>
    <w:basedOn w:val="Normal"/>
    <w:link w:val="HeaderChar"/>
    <w:uiPriority w:val="99"/>
    <w:unhideWhenUsed/>
    <w:rsid w:val="00B14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8E"/>
  </w:style>
  <w:style w:type="paragraph" w:styleId="Footer">
    <w:name w:val="footer"/>
    <w:basedOn w:val="Normal"/>
    <w:link w:val="FooterChar"/>
    <w:uiPriority w:val="99"/>
    <w:unhideWhenUsed/>
    <w:rsid w:val="00B14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8E"/>
  </w:style>
  <w:style w:type="character" w:styleId="CommentReference">
    <w:name w:val="annotation reference"/>
    <w:basedOn w:val="DefaultParagraphFont"/>
    <w:uiPriority w:val="99"/>
    <w:semiHidden/>
    <w:unhideWhenUsed/>
    <w:rsid w:val="005E2DCA"/>
    <w:rPr>
      <w:sz w:val="16"/>
      <w:szCs w:val="16"/>
    </w:rPr>
  </w:style>
  <w:style w:type="paragraph" w:styleId="CommentText">
    <w:name w:val="annotation text"/>
    <w:basedOn w:val="Normal"/>
    <w:link w:val="CommentTextChar"/>
    <w:uiPriority w:val="99"/>
    <w:semiHidden/>
    <w:unhideWhenUsed/>
    <w:rsid w:val="005E2DCA"/>
    <w:pPr>
      <w:spacing w:line="240" w:lineRule="auto"/>
    </w:pPr>
    <w:rPr>
      <w:sz w:val="20"/>
      <w:szCs w:val="20"/>
    </w:rPr>
  </w:style>
  <w:style w:type="character" w:customStyle="1" w:styleId="CommentTextChar">
    <w:name w:val="Comment Text Char"/>
    <w:basedOn w:val="DefaultParagraphFont"/>
    <w:link w:val="CommentText"/>
    <w:uiPriority w:val="99"/>
    <w:semiHidden/>
    <w:rsid w:val="005E2DCA"/>
    <w:rPr>
      <w:sz w:val="20"/>
      <w:szCs w:val="20"/>
    </w:rPr>
  </w:style>
  <w:style w:type="paragraph" w:styleId="CommentSubject">
    <w:name w:val="annotation subject"/>
    <w:basedOn w:val="CommentText"/>
    <w:next w:val="CommentText"/>
    <w:link w:val="CommentSubjectChar"/>
    <w:uiPriority w:val="99"/>
    <w:semiHidden/>
    <w:unhideWhenUsed/>
    <w:rsid w:val="005E2DCA"/>
    <w:rPr>
      <w:b/>
      <w:bCs/>
    </w:rPr>
  </w:style>
  <w:style w:type="character" w:customStyle="1" w:styleId="CommentSubjectChar">
    <w:name w:val="Comment Subject Char"/>
    <w:basedOn w:val="CommentTextChar"/>
    <w:link w:val="CommentSubject"/>
    <w:uiPriority w:val="99"/>
    <w:semiHidden/>
    <w:rsid w:val="005E2DCA"/>
    <w:rPr>
      <w:b/>
      <w:bCs/>
      <w:sz w:val="20"/>
      <w:szCs w:val="20"/>
    </w:rPr>
  </w:style>
  <w:style w:type="paragraph" w:styleId="BalloonText">
    <w:name w:val="Balloon Text"/>
    <w:basedOn w:val="Normal"/>
    <w:link w:val="BalloonTextChar"/>
    <w:uiPriority w:val="99"/>
    <w:semiHidden/>
    <w:unhideWhenUsed/>
    <w:rsid w:val="005E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CA"/>
    <w:rPr>
      <w:rFonts w:ascii="Segoe UI" w:hAnsi="Segoe UI" w:cs="Segoe UI"/>
      <w:sz w:val="18"/>
      <w:szCs w:val="18"/>
    </w:rPr>
  </w:style>
  <w:style w:type="character" w:customStyle="1" w:styleId="Heading1Char">
    <w:name w:val="Heading 1 Char"/>
    <w:basedOn w:val="DefaultParagraphFont"/>
    <w:link w:val="Heading1"/>
    <w:uiPriority w:val="2"/>
    <w:rsid w:val="00FD515E"/>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FD515E"/>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FD515E"/>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FD515E"/>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FD515E"/>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FD515E"/>
    <w:rPr>
      <w:rFonts w:ascii="Verdana" w:eastAsiaTheme="majorEastAsia" w:hAnsi="Verdana" w:cstheme="majorBidi"/>
      <w:b/>
      <w:iCs/>
      <w:color w:val="006283"/>
      <w:sz w:val="18"/>
    </w:rPr>
  </w:style>
  <w:style w:type="paragraph" w:styleId="BodyText">
    <w:name w:val="Body Text"/>
    <w:basedOn w:val="Normal"/>
    <w:link w:val="BodyTextChar"/>
    <w:uiPriority w:val="1"/>
    <w:qFormat/>
    <w:rsid w:val="00FD515E"/>
    <w:pPr>
      <w:numPr>
        <w:ilvl w:val="6"/>
        <w:numId w:val="18"/>
      </w:numPr>
      <w:spacing w:after="240" w:line="240" w:lineRule="auto"/>
      <w:jc w:val="both"/>
    </w:pPr>
    <w:rPr>
      <w:rFonts w:ascii="Verdana" w:hAnsi="Verdana"/>
      <w:sz w:val="18"/>
    </w:rPr>
  </w:style>
  <w:style w:type="character" w:customStyle="1" w:styleId="BodyTextChar">
    <w:name w:val="Body Text Char"/>
    <w:basedOn w:val="DefaultParagraphFont"/>
    <w:link w:val="BodyText"/>
    <w:uiPriority w:val="1"/>
    <w:rsid w:val="00FD515E"/>
    <w:rPr>
      <w:rFonts w:ascii="Verdana" w:hAnsi="Verdana"/>
      <w:sz w:val="18"/>
    </w:rPr>
  </w:style>
  <w:style w:type="paragraph" w:styleId="BodyText2">
    <w:name w:val="Body Text 2"/>
    <w:basedOn w:val="Normal"/>
    <w:link w:val="BodyText2Char"/>
    <w:uiPriority w:val="1"/>
    <w:qFormat/>
    <w:rsid w:val="00FD515E"/>
    <w:pPr>
      <w:numPr>
        <w:ilvl w:val="7"/>
        <w:numId w:val="18"/>
      </w:numPr>
      <w:spacing w:after="240" w:line="240" w:lineRule="auto"/>
      <w:jc w:val="both"/>
    </w:pPr>
    <w:rPr>
      <w:rFonts w:ascii="Verdana" w:hAnsi="Verdana"/>
      <w:sz w:val="18"/>
    </w:rPr>
  </w:style>
  <w:style w:type="character" w:customStyle="1" w:styleId="BodyText2Char">
    <w:name w:val="Body Text 2 Char"/>
    <w:basedOn w:val="DefaultParagraphFont"/>
    <w:link w:val="BodyText2"/>
    <w:uiPriority w:val="1"/>
    <w:rsid w:val="00FD515E"/>
    <w:rPr>
      <w:rFonts w:ascii="Verdana" w:hAnsi="Verdana"/>
      <w:sz w:val="18"/>
    </w:rPr>
  </w:style>
  <w:style w:type="paragraph" w:styleId="BodyText3">
    <w:name w:val="Body Text 3"/>
    <w:basedOn w:val="Normal"/>
    <w:link w:val="BodyText3Char"/>
    <w:uiPriority w:val="1"/>
    <w:qFormat/>
    <w:rsid w:val="00FD515E"/>
    <w:pPr>
      <w:numPr>
        <w:ilvl w:val="8"/>
        <w:numId w:val="18"/>
      </w:numPr>
      <w:spacing w:after="240" w:line="240" w:lineRule="auto"/>
      <w:jc w:val="both"/>
    </w:pPr>
    <w:rPr>
      <w:rFonts w:ascii="Verdana" w:hAnsi="Verdana"/>
      <w:sz w:val="18"/>
      <w:szCs w:val="16"/>
    </w:rPr>
  </w:style>
  <w:style w:type="character" w:customStyle="1" w:styleId="BodyText3Char">
    <w:name w:val="Body Text 3 Char"/>
    <w:basedOn w:val="DefaultParagraphFont"/>
    <w:link w:val="BodyText3"/>
    <w:uiPriority w:val="1"/>
    <w:rsid w:val="00FD515E"/>
    <w:rPr>
      <w:rFonts w:ascii="Verdana" w:hAnsi="Verdana"/>
      <w:sz w:val="18"/>
      <w:szCs w:val="16"/>
    </w:rPr>
  </w:style>
  <w:style w:type="numbering" w:customStyle="1" w:styleId="LegalHeadings">
    <w:name w:val="LegalHeadings"/>
    <w:uiPriority w:val="99"/>
    <w:rsid w:val="00FD515E"/>
    <w:pPr>
      <w:numPr>
        <w:numId w:val="17"/>
      </w:numPr>
    </w:pPr>
  </w:style>
  <w:style w:type="paragraph" w:styleId="FootnoteText">
    <w:name w:val="footnote text"/>
    <w:aliases w:val="fn,footnote text, Car,ft,Footnotes,Footnote ak,fn cafc,Footnotes Char,Footnote ak Char,Footnotes Char Char,Footnote Text Char Char,fn Char Char,footnote text Char Char Char Ch,Footnote Text Char1,Car"/>
    <w:basedOn w:val="Normal"/>
    <w:link w:val="FootnoteTextChar"/>
    <w:uiPriority w:val="1"/>
    <w:rsid w:val="00FD515E"/>
    <w:pPr>
      <w:spacing w:after="0" w:line="240" w:lineRule="auto"/>
      <w:ind w:firstLine="567"/>
    </w:pPr>
    <w:rPr>
      <w:rFonts w:ascii="Verdana" w:eastAsia="Calibri" w:hAnsi="Verdana" w:cs="Times New Roman"/>
      <w:sz w:val="16"/>
      <w:szCs w:val="18"/>
      <w:lang w:eastAsia="en-GB"/>
    </w:rPr>
  </w:style>
  <w:style w:type="character" w:customStyle="1" w:styleId="FootnoteTextChar">
    <w:name w:val="Footnote Text Char"/>
    <w:aliases w:val="fn Char,footnote text Char, Car Char,ft Char,Footnotes Char1,Footnote ak Char1,fn cafc Char,Footnotes Char Char1,Footnote ak Char Char,Footnotes Char Char Char,Footnote Text Char Char Char,fn Char Char Char,Footnote Text Char1 Char"/>
    <w:basedOn w:val="DefaultParagraphFont"/>
    <w:link w:val="FootnoteText"/>
    <w:uiPriority w:val="1"/>
    <w:rsid w:val="00FD515E"/>
    <w:rPr>
      <w:rFonts w:ascii="Verdana" w:eastAsia="Calibri" w:hAnsi="Verdana" w:cs="Times New Roman"/>
      <w:sz w:val="16"/>
      <w:szCs w:val="18"/>
      <w:lang w:eastAsia="en-GB"/>
    </w:rPr>
  </w:style>
  <w:style w:type="character" w:styleId="FootnoteReference">
    <w:name w:val="footnote reference"/>
    <w:aliases w:val="de nota al pie,Ref,FOOTNOTE,stylish"/>
    <w:rsid w:val="00FD5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6438">
      <w:bodyDiv w:val="1"/>
      <w:marLeft w:val="0"/>
      <w:marRight w:val="0"/>
      <w:marTop w:val="0"/>
      <w:marBottom w:val="0"/>
      <w:divBdr>
        <w:top w:val="none" w:sz="0" w:space="0" w:color="auto"/>
        <w:left w:val="none" w:sz="0" w:space="0" w:color="auto"/>
        <w:bottom w:val="none" w:sz="0" w:space="0" w:color="auto"/>
        <w:right w:val="none" w:sz="0" w:space="0" w:color="auto"/>
      </w:divBdr>
      <w:divsChild>
        <w:div w:id="924992552">
          <w:marLeft w:val="0"/>
          <w:marRight w:val="0"/>
          <w:marTop w:val="0"/>
          <w:marBottom w:val="0"/>
          <w:divBdr>
            <w:top w:val="none" w:sz="0" w:space="0" w:color="auto"/>
            <w:left w:val="none" w:sz="0" w:space="0" w:color="auto"/>
            <w:bottom w:val="none" w:sz="0" w:space="0" w:color="auto"/>
            <w:right w:val="none" w:sz="0" w:space="0" w:color="auto"/>
          </w:divBdr>
        </w:div>
        <w:div w:id="1377126339">
          <w:marLeft w:val="0"/>
          <w:marRight w:val="0"/>
          <w:marTop w:val="0"/>
          <w:marBottom w:val="0"/>
          <w:divBdr>
            <w:top w:val="none" w:sz="0" w:space="0" w:color="auto"/>
            <w:left w:val="none" w:sz="0" w:space="0" w:color="auto"/>
            <w:bottom w:val="none" w:sz="0" w:space="0" w:color="auto"/>
            <w:right w:val="none" w:sz="0" w:space="0" w:color="auto"/>
          </w:divBdr>
        </w:div>
        <w:div w:id="771240724">
          <w:marLeft w:val="0"/>
          <w:marRight w:val="0"/>
          <w:marTop w:val="0"/>
          <w:marBottom w:val="0"/>
          <w:divBdr>
            <w:top w:val="none" w:sz="0" w:space="0" w:color="auto"/>
            <w:left w:val="none" w:sz="0" w:space="0" w:color="auto"/>
            <w:bottom w:val="none" w:sz="0" w:space="0" w:color="auto"/>
            <w:right w:val="none" w:sz="0" w:space="0" w:color="auto"/>
          </w:divBdr>
        </w:div>
        <w:div w:id="529417625">
          <w:marLeft w:val="0"/>
          <w:marRight w:val="0"/>
          <w:marTop w:val="0"/>
          <w:marBottom w:val="0"/>
          <w:divBdr>
            <w:top w:val="none" w:sz="0" w:space="0" w:color="auto"/>
            <w:left w:val="none" w:sz="0" w:space="0" w:color="auto"/>
            <w:bottom w:val="none" w:sz="0" w:space="0" w:color="auto"/>
            <w:right w:val="none" w:sz="0" w:space="0" w:color="auto"/>
          </w:divBdr>
        </w:div>
        <w:div w:id="413169154">
          <w:marLeft w:val="0"/>
          <w:marRight w:val="0"/>
          <w:marTop w:val="0"/>
          <w:marBottom w:val="0"/>
          <w:divBdr>
            <w:top w:val="none" w:sz="0" w:space="0" w:color="auto"/>
            <w:left w:val="none" w:sz="0" w:space="0" w:color="auto"/>
            <w:bottom w:val="none" w:sz="0" w:space="0" w:color="auto"/>
            <w:right w:val="none" w:sz="0" w:space="0" w:color="auto"/>
          </w:divBdr>
        </w:div>
        <w:div w:id="1304232097">
          <w:marLeft w:val="0"/>
          <w:marRight w:val="0"/>
          <w:marTop w:val="0"/>
          <w:marBottom w:val="0"/>
          <w:divBdr>
            <w:top w:val="none" w:sz="0" w:space="0" w:color="auto"/>
            <w:left w:val="none" w:sz="0" w:space="0" w:color="auto"/>
            <w:bottom w:val="none" w:sz="0" w:space="0" w:color="auto"/>
            <w:right w:val="none" w:sz="0" w:space="0" w:color="auto"/>
          </w:divBdr>
        </w:div>
        <w:div w:id="833689514">
          <w:marLeft w:val="0"/>
          <w:marRight w:val="0"/>
          <w:marTop w:val="0"/>
          <w:marBottom w:val="0"/>
          <w:divBdr>
            <w:top w:val="none" w:sz="0" w:space="0" w:color="auto"/>
            <w:left w:val="none" w:sz="0" w:space="0" w:color="auto"/>
            <w:bottom w:val="none" w:sz="0" w:space="0" w:color="auto"/>
            <w:right w:val="none" w:sz="0" w:space="0" w:color="auto"/>
          </w:divBdr>
        </w:div>
        <w:div w:id="1627002435">
          <w:marLeft w:val="0"/>
          <w:marRight w:val="0"/>
          <w:marTop w:val="0"/>
          <w:marBottom w:val="0"/>
          <w:divBdr>
            <w:top w:val="none" w:sz="0" w:space="0" w:color="auto"/>
            <w:left w:val="none" w:sz="0" w:space="0" w:color="auto"/>
            <w:bottom w:val="none" w:sz="0" w:space="0" w:color="auto"/>
            <w:right w:val="none" w:sz="0" w:space="0" w:color="auto"/>
          </w:divBdr>
        </w:div>
      </w:divsChild>
    </w:div>
    <w:div w:id="158472875">
      <w:bodyDiv w:val="1"/>
      <w:marLeft w:val="0"/>
      <w:marRight w:val="0"/>
      <w:marTop w:val="0"/>
      <w:marBottom w:val="0"/>
      <w:divBdr>
        <w:top w:val="none" w:sz="0" w:space="0" w:color="auto"/>
        <w:left w:val="none" w:sz="0" w:space="0" w:color="auto"/>
        <w:bottom w:val="none" w:sz="0" w:space="0" w:color="auto"/>
        <w:right w:val="none" w:sz="0" w:space="0" w:color="auto"/>
      </w:divBdr>
      <w:divsChild>
        <w:div w:id="507326831">
          <w:marLeft w:val="0"/>
          <w:marRight w:val="0"/>
          <w:marTop w:val="0"/>
          <w:marBottom w:val="0"/>
          <w:divBdr>
            <w:top w:val="none" w:sz="0" w:space="0" w:color="auto"/>
            <w:left w:val="none" w:sz="0" w:space="0" w:color="auto"/>
            <w:bottom w:val="none" w:sz="0" w:space="0" w:color="auto"/>
            <w:right w:val="none" w:sz="0" w:space="0" w:color="auto"/>
          </w:divBdr>
        </w:div>
        <w:div w:id="354892324">
          <w:marLeft w:val="0"/>
          <w:marRight w:val="0"/>
          <w:marTop w:val="0"/>
          <w:marBottom w:val="0"/>
          <w:divBdr>
            <w:top w:val="none" w:sz="0" w:space="0" w:color="auto"/>
            <w:left w:val="none" w:sz="0" w:space="0" w:color="auto"/>
            <w:bottom w:val="none" w:sz="0" w:space="0" w:color="auto"/>
            <w:right w:val="none" w:sz="0" w:space="0" w:color="auto"/>
          </w:divBdr>
        </w:div>
        <w:div w:id="310988455">
          <w:marLeft w:val="0"/>
          <w:marRight w:val="0"/>
          <w:marTop w:val="0"/>
          <w:marBottom w:val="0"/>
          <w:divBdr>
            <w:top w:val="none" w:sz="0" w:space="0" w:color="auto"/>
            <w:left w:val="none" w:sz="0" w:space="0" w:color="auto"/>
            <w:bottom w:val="none" w:sz="0" w:space="0" w:color="auto"/>
            <w:right w:val="none" w:sz="0" w:space="0" w:color="auto"/>
          </w:divBdr>
        </w:div>
      </w:divsChild>
    </w:div>
    <w:div w:id="370691469">
      <w:bodyDiv w:val="1"/>
      <w:marLeft w:val="0"/>
      <w:marRight w:val="0"/>
      <w:marTop w:val="0"/>
      <w:marBottom w:val="0"/>
      <w:divBdr>
        <w:top w:val="none" w:sz="0" w:space="0" w:color="auto"/>
        <w:left w:val="none" w:sz="0" w:space="0" w:color="auto"/>
        <w:bottom w:val="none" w:sz="0" w:space="0" w:color="auto"/>
        <w:right w:val="none" w:sz="0" w:space="0" w:color="auto"/>
      </w:divBdr>
      <w:divsChild>
        <w:div w:id="1359623065">
          <w:marLeft w:val="0"/>
          <w:marRight w:val="0"/>
          <w:marTop w:val="0"/>
          <w:marBottom w:val="0"/>
          <w:divBdr>
            <w:top w:val="none" w:sz="0" w:space="0" w:color="auto"/>
            <w:left w:val="none" w:sz="0" w:space="0" w:color="auto"/>
            <w:bottom w:val="none" w:sz="0" w:space="0" w:color="auto"/>
            <w:right w:val="none" w:sz="0" w:space="0" w:color="auto"/>
          </w:divBdr>
        </w:div>
        <w:div w:id="349569938">
          <w:marLeft w:val="0"/>
          <w:marRight w:val="0"/>
          <w:marTop w:val="0"/>
          <w:marBottom w:val="0"/>
          <w:divBdr>
            <w:top w:val="none" w:sz="0" w:space="0" w:color="auto"/>
            <w:left w:val="none" w:sz="0" w:space="0" w:color="auto"/>
            <w:bottom w:val="none" w:sz="0" w:space="0" w:color="auto"/>
            <w:right w:val="none" w:sz="0" w:space="0" w:color="auto"/>
          </w:divBdr>
        </w:div>
        <w:div w:id="1899633992">
          <w:marLeft w:val="0"/>
          <w:marRight w:val="0"/>
          <w:marTop w:val="0"/>
          <w:marBottom w:val="0"/>
          <w:divBdr>
            <w:top w:val="none" w:sz="0" w:space="0" w:color="auto"/>
            <w:left w:val="none" w:sz="0" w:space="0" w:color="auto"/>
            <w:bottom w:val="none" w:sz="0" w:space="0" w:color="auto"/>
            <w:right w:val="none" w:sz="0" w:space="0" w:color="auto"/>
          </w:divBdr>
        </w:div>
        <w:div w:id="1414354077">
          <w:marLeft w:val="0"/>
          <w:marRight w:val="0"/>
          <w:marTop w:val="0"/>
          <w:marBottom w:val="0"/>
          <w:divBdr>
            <w:top w:val="none" w:sz="0" w:space="0" w:color="auto"/>
            <w:left w:val="none" w:sz="0" w:space="0" w:color="auto"/>
            <w:bottom w:val="none" w:sz="0" w:space="0" w:color="auto"/>
            <w:right w:val="none" w:sz="0" w:space="0" w:color="auto"/>
          </w:divBdr>
        </w:div>
        <w:div w:id="769357263">
          <w:marLeft w:val="0"/>
          <w:marRight w:val="0"/>
          <w:marTop w:val="0"/>
          <w:marBottom w:val="0"/>
          <w:divBdr>
            <w:top w:val="none" w:sz="0" w:space="0" w:color="auto"/>
            <w:left w:val="none" w:sz="0" w:space="0" w:color="auto"/>
            <w:bottom w:val="none" w:sz="0" w:space="0" w:color="auto"/>
            <w:right w:val="none" w:sz="0" w:space="0" w:color="auto"/>
          </w:divBdr>
        </w:div>
        <w:div w:id="519008261">
          <w:marLeft w:val="0"/>
          <w:marRight w:val="0"/>
          <w:marTop w:val="0"/>
          <w:marBottom w:val="0"/>
          <w:divBdr>
            <w:top w:val="none" w:sz="0" w:space="0" w:color="auto"/>
            <w:left w:val="none" w:sz="0" w:space="0" w:color="auto"/>
            <w:bottom w:val="none" w:sz="0" w:space="0" w:color="auto"/>
            <w:right w:val="none" w:sz="0" w:space="0" w:color="auto"/>
          </w:divBdr>
        </w:div>
        <w:div w:id="196552177">
          <w:marLeft w:val="0"/>
          <w:marRight w:val="0"/>
          <w:marTop w:val="0"/>
          <w:marBottom w:val="0"/>
          <w:divBdr>
            <w:top w:val="none" w:sz="0" w:space="0" w:color="auto"/>
            <w:left w:val="none" w:sz="0" w:space="0" w:color="auto"/>
            <w:bottom w:val="none" w:sz="0" w:space="0" w:color="auto"/>
            <w:right w:val="none" w:sz="0" w:space="0" w:color="auto"/>
          </w:divBdr>
        </w:div>
        <w:div w:id="719600323">
          <w:marLeft w:val="0"/>
          <w:marRight w:val="0"/>
          <w:marTop w:val="0"/>
          <w:marBottom w:val="0"/>
          <w:divBdr>
            <w:top w:val="none" w:sz="0" w:space="0" w:color="auto"/>
            <w:left w:val="none" w:sz="0" w:space="0" w:color="auto"/>
            <w:bottom w:val="none" w:sz="0" w:space="0" w:color="auto"/>
            <w:right w:val="none" w:sz="0" w:space="0" w:color="auto"/>
          </w:divBdr>
        </w:div>
        <w:div w:id="1625845792">
          <w:marLeft w:val="0"/>
          <w:marRight w:val="0"/>
          <w:marTop w:val="0"/>
          <w:marBottom w:val="0"/>
          <w:divBdr>
            <w:top w:val="none" w:sz="0" w:space="0" w:color="auto"/>
            <w:left w:val="none" w:sz="0" w:space="0" w:color="auto"/>
            <w:bottom w:val="none" w:sz="0" w:space="0" w:color="auto"/>
            <w:right w:val="none" w:sz="0" w:space="0" w:color="auto"/>
          </w:divBdr>
        </w:div>
        <w:div w:id="806823460">
          <w:marLeft w:val="0"/>
          <w:marRight w:val="0"/>
          <w:marTop w:val="0"/>
          <w:marBottom w:val="0"/>
          <w:divBdr>
            <w:top w:val="none" w:sz="0" w:space="0" w:color="auto"/>
            <w:left w:val="none" w:sz="0" w:space="0" w:color="auto"/>
            <w:bottom w:val="none" w:sz="0" w:space="0" w:color="auto"/>
            <w:right w:val="none" w:sz="0" w:space="0" w:color="auto"/>
          </w:divBdr>
        </w:div>
        <w:div w:id="1362363554">
          <w:marLeft w:val="0"/>
          <w:marRight w:val="0"/>
          <w:marTop w:val="0"/>
          <w:marBottom w:val="0"/>
          <w:divBdr>
            <w:top w:val="none" w:sz="0" w:space="0" w:color="auto"/>
            <w:left w:val="none" w:sz="0" w:space="0" w:color="auto"/>
            <w:bottom w:val="none" w:sz="0" w:space="0" w:color="auto"/>
            <w:right w:val="none" w:sz="0" w:space="0" w:color="auto"/>
          </w:divBdr>
        </w:div>
        <w:div w:id="890267252">
          <w:marLeft w:val="0"/>
          <w:marRight w:val="0"/>
          <w:marTop w:val="0"/>
          <w:marBottom w:val="0"/>
          <w:divBdr>
            <w:top w:val="none" w:sz="0" w:space="0" w:color="auto"/>
            <w:left w:val="none" w:sz="0" w:space="0" w:color="auto"/>
            <w:bottom w:val="none" w:sz="0" w:space="0" w:color="auto"/>
            <w:right w:val="none" w:sz="0" w:space="0" w:color="auto"/>
          </w:divBdr>
        </w:div>
      </w:divsChild>
    </w:div>
    <w:div w:id="466820053">
      <w:bodyDiv w:val="1"/>
      <w:marLeft w:val="0"/>
      <w:marRight w:val="0"/>
      <w:marTop w:val="0"/>
      <w:marBottom w:val="0"/>
      <w:divBdr>
        <w:top w:val="none" w:sz="0" w:space="0" w:color="auto"/>
        <w:left w:val="none" w:sz="0" w:space="0" w:color="auto"/>
        <w:bottom w:val="none" w:sz="0" w:space="0" w:color="auto"/>
        <w:right w:val="none" w:sz="0" w:space="0" w:color="auto"/>
      </w:divBdr>
      <w:divsChild>
        <w:div w:id="1739942463">
          <w:marLeft w:val="0"/>
          <w:marRight w:val="0"/>
          <w:marTop w:val="0"/>
          <w:marBottom w:val="0"/>
          <w:divBdr>
            <w:top w:val="none" w:sz="0" w:space="0" w:color="auto"/>
            <w:left w:val="none" w:sz="0" w:space="0" w:color="auto"/>
            <w:bottom w:val="none" w:sz="0" w:space="0" w:color="auto"/>
            <w:right w:val="none" w:sz="0" w:space="0" w:color="auto"/>
          </w:divBdr>
        </w:div>
        <w:div w:id="626744074">
          <w:marLeft w:val="0"/>
          <w:marRight w:val="0"/>
          <w:marTop w:val="0"/>
          <w:marBottom w:val="0"/>
          <w:divBdr>
            <w:top w:val="none" w:sz="0" w:space="0" w:color="auto"/>
            <w:left w:val="none" w:sz="0" w:space="0" w:color="auto"/>
            <w:bottom w:val="none" w:sz="0" w:space="0" w:color="auto"/>
            <w:right w:val="none" w:sz="0" w:space="0" w:color="auto"/>
          </w:divBdr>
        </w:div>
        <w:div w:id="1130131897">
          <w:marLeft w:val="0"/>
          <w:marRight w:val="0"/>
          <w:marTop w:val="0"/>
          <w:marBottom w:val="0"/>
          <w:divBdr>
            <w:top w:val="none" w:sz="0" w:space="0" w:color="auto"/>
            <w:left w:val="none" w:sz="0" w:space="0" w:color="auto"/>
            <w:bottom w:val="none" w:sz="0" w:space="0" w:color="auto"/>
            <w:right w:val="none" w:sz="0" w:space="0" w:color="auto"/>
          </w:divBdr>
        </w:div>
        <w:div w:id="1843935340">
          <w:marLeft w:val="0"/>
          <w:marRight w:val="0"/>
          <w:marTop w:val="0"/>
          <w:marBottom w:val="0"/>
          <w:divBdr>
            <w:top w:val="none" w:sz="0" w:space="0" w:color="auto"/>
            <w:left w:val="none" w:sz="0" w:space="0" w:color="auto"/>
            <w:bottom w:val="none" w:sz="0" w:space="0" w:color="auto"/>
            <w:right w:val="none" w:sz="0" w:space="0" w:color="auto"/>
          </w:divBdr>
        </w:div>
      </w:divsChild>
    </w:div>
    <w:div w:id="477890638">
      <w:bodyDiv w:val="1"/>
      <w:marLeft w:val="0"/>
      <w:marRight w:val="0"/>
      <w:marTop w:val="0"/>
      <w:marBottom w:val="0"/>
      <w:divBdr>
        <w:top w:val="none" w:sz="0" w:space="0" w:color="auto"/>
        <w:left w:val="none" w:sz="0" w:space="0" w:color="auto"/>
        <w:bottom w:val="none" w:sz="0" w:space="0" w:color="auto"/>
        <w:right w:val="none" w:sz="0" w:space="0" w:color="auto"/>
      </w:divBdr>
      <w:divsChild>
        <w:div w:id="1184633989">
          <w:marLeft w:val="0"/>
          <w:marRight w:val="0"/>
          <w:marTop w:val="0"/>
          <w:marBottom w:val="0"/>
          <w:divBdr>
            <w:top w:val="none" w:sz="0" w:space="0" w:color="auto"/>
            <w:left w:val="none" w:sz="0" w:space="0" w:color="auto"/>
            <w:bottom w:val="none" w:sz="0" w:space="0" w:color="auto"/>
            <w:right w:val="none" w:sz="0" w:space="0" w:color="auto"/>
          </w:divBdr>
        </w:div>
        <w:div w:id="1315526119">
          <w:marLeft w:val="0"/>
          <w:marRight w:val="0"/>
          <w:marTop w:val="0"/>
          <w:marBottom w:val="0"/>
          <w:divBdr>
            <w:top w:val="none" w:sz="0" w:space="0" w:color="auto"/>
            <w:left w:val="none" w:sz="0" w:space="0" w:color="auto"/>
            <w:bottom w:val="none" w:sz="0" w:space="0" w:color="auto"/>
            <w:right w:val="none" w:sz="0" w:space="0" w:color="auto"/>
          </w:divBdr>
        </w:div>
      </w:divsChild>
    </w:div>
    <w:div w:id="673336893">
      <w:bodyDiv w:val="1"/>
      <w:marLeft w:val="0"/>
      <w:marRight w:val="0"/>
      <w:marTop w:val="0"/>
      <w:marBottom w:val="0"/>
      <w:divBdr>
        <w:top w:val="none" w:sz="0" w:space="0" w:color="auto"/>
        <w:left w:val="none" w:sz="0" w:space="0" w:color="auto"/>
        <w:bottom w:val="none" w:sz="0" w:space="0" w:color="auto"/>
        <w:right w:val="none" w:sz="0" w:space="0" w:color="auto"/>
      </w:divBdr>
      <w:divsChild>
        <w:div w:id="1824656090">
          <w:marLeft w:val="0"/>
          <w:marRight w:val="0"/>
          <w:marTop w:val="0"/>
          <w:marBottom w:val="0"/>
          <w:divBdr>
            <w:top w:val="none" w:sz="0" w:space="0" w:color="auto"/>
            <w:left w:val="none" w:sz="0" w:space="0" w:color="auto"/>
            <w:bottom w:val="none" w:sz="0" w:space="0" w:color="auto"/>
            <w:right w:val="none" w:sz="0" w:space="0" w:color="auto"/>
          </w:divBdr>
        </w:div>
        <w:div w:id="1203397077">
          <w:marLeft w:val="0"/>
          <w:marRight w:val="0"/>
          <w:marTop w:val="0"/>
          <w:marBottom w:val="0"/>
          <w:divBdr>
            <w:top w:val="none" w:sz="0" w:space="0" w:color="auto"/>
            <w:left w:val="none" w:sz="0" w:space="0" w:color="auto"/>
            <w:bottom w:val="none" w:sz="0" w:space="0" w:color="auto"/>
            <w:right w:val="none" w:sz="0" w:space="0" w:color="auto"/>
          </w:divBdr>
        </w:div>
        <w:div w:id="1295133579">
          <w:marLeft w:val="0"/>
          <w:marRight w:val="0"/>
          <w:marTop w:val="0"/>
          <w:marBottom w:val="0"/>
          <w:divBdr>
            <w:top w:val="none" w:sz="0" w:space="0" w:color="auto"/>
            <w:left w:val="none" w:sz="0" w:space="0" w:color="auto"/>
            <w:bottom w:val="none" w:sz="0" w:space="0" w:color="auto"/>
            <w:right w:val="none" w:sz="0" w:space="0" w:color="auto"/>
          </w:divBdr>
        </w:div>
        <w:div w:id="395318050">
          <w:marLeft w:val="0"/>
          <w:marRight w:val="0"/>
          <w:marTop w:val="0"/>
          <w:marBottom w:val="0"/>
          <w:divBdr>
            <w:top w:val="none" w:sz="0" w:space="0" w:color="auto"/>
            <w:left w:val="none" w:sz="0" w:space="0" w:color="auto"/>
            <w:bottom w:val="none" w:sz="0" w:space="0" w:color="auto"/>
            <w:right w:val="none" w:sz="0" w:space="0" w:color="auto"/>
          </w:divBdr>
        </w:div>
        <w:div w:id="520897558">
          <w:marLeft w:val="0"/>
          <w:marRight w:val="0"/>
          <w:marTop w:val="0"/>
          <w:marBottom w:val="0"/>
          <w:divBdr>
            <w:top w:val="none" w:sz="0" w:space="0" w:color="auto"/>
            <w:left w:val="none" w:sz="0" w:space="0" w:color="auto"/>
            <w:bottom w:val="none" w:sz="0" w:space="0" w:color="auto"/>
            <w:right w:val="none" w:sz="0" w:space="0" w:color="auto"/>
          </w:divBdr>
        </w:div>
        <w:div w:id="774980131">
          <w:marLeft w:val="0"/>
          <w:marRight w:val="0"/>
          <w:marTop w:val="0"/>
          <w:marBottom w:val="0"/>
          <w:divBdr>
            <w:top w:val="none" w:sz="0" w:space="0" w:color="auto"/>
            <w:left w:val="none" w:sz="0" w:space="0" w:color="auto"/>
            <w:bottom w:val="none" w:sz="0" w:space="0" w:color="auto"/>
            <w:right w:val="none" w:sz="0" w:space="0" w:color="auto"/>
          </w:divBdr>
        </w:div>
        <w:div w:id="1177622952">
          <w:marLeft w:val="0"/>
          <w:marRight w:val="0"/>
          <w:marTop w:val="0"/>
          <w:marBottom w:val="0"/>
          <w:divBdr>
            <w:top w:val="none" w:sz="0" w:space="0" w:color="auto"/>
            <w:left w:val="none" w:sz="0" w:space="0" w:color="auto"/>
            <w:bottom w:val="none" w:sz="0" w:space="0" w:color="auto"/>
            <w:right w:val="none" w:sz="0" w:space="0" w:color="auto"/>
          </w:divBdr>
        </w:div>
        <w:div w:id="1330523084">
          <w:marLeft w:val="0"/>
          <w:marRight w:val="0"/>
          <w:marTop w:val="0"/>
          <w:marBottom w:val="0"/>
          <w:divBdr>
            <w:top w:val="none" w:sz="0" w:space="0" w:color="auto"/>
            <w:left w:val="none" w:sz="0" w:space="0" w:color="auto"/>
            <w:bottom w:val="none" w:sz="0" w:space="0" w:color="auto"/>
            <w:right w:val="none" w:sz="0" w:space="0" w:color="auto"/>
          </w:divBdr>
        </w:div>
        <w:div w:id="1055928494">
          <w:marLeft w:val="0"/>
          <w:marRight w:val="0"/>
          <w:marTop w:val="0"/>
          <w:marBottom w:val="0"/>
          <w:divBdr>
            <w:top w:val="none" w:sz="0" w:space="0" w:color="auto"/>
            <w:left w:val="none" w:sz="0" w:space="0" w:color="auto"/>
            <w:bottom w:val="none" w:sz="0" w:space="0" w:color="auto"/>
            <w:right w:val="none" w:sz="0" w:space="0" w:color="auto"/>
          </w:divBdr>
        </w:div>
      </w:divsChild>
    </w:div>
    <w:div w:id="735516478">
      <w:bodyDiv w:val="1"/>
      <w:marLeft w:val="0"/>
      <w:marRight w:val="0"/>
      <w:marTop w:val="0"/>
      <w:marBottom w:val="0"/>
      <w:divBdr>
        <w:top w:val="none" w:sz="0" w:space="0" w:color="auto"/>
        <w:left w:val="none" w:sz="0" w:space="0" w:color="auto"/>
        <w:bottom w:val="none" w:sz="0" w:space="0" w:color="auto"/>
        <w:right w:val="none" w:sz="0" w:space="0" w:color="auto"/>
      </w:divBdr>
      <w:divsChild>
        <w:div w:id="1663924720">
          <w:marLeft w:val="0"/>
          <w:marRight w:val="0"/>
          <w:marTop w:val="0"/>
          <w:marBottom w:val="0"/>
          <w:divBdr>
            <w:top w:val="none" w:sz="0" w:space="0" w:color="auto"/>
            <w:left w:val="none" w:sz="0" w:space="0" w:color="auto"/>
            <w:bottom w:val="none" w:sz="0" w:space="0" w:color="auto"/>
            <w:right w:val="none" w:sz="0" w:space="0" w:color="auto"/>
          </w:divBdr>
        </w:div>
        <w:div w:id="462501511">
          <w:marLeft w:val="0"/>
          <w:marRight w:val="0"/>
          <w:marTop w:val="0"/>
          <w:marBottom w:val="0"/>
          <w:divBdr>
            <w:top w:val="none" w:sz="0" w:space="0" w:color="auto"/>
            <w:left w:val="none" w:sz="0" w:space="0" w:color="auto"/>
            <w:bottom w:val="none" w:sz="0" w:space="0" w:color="auto"/>
            <w:right w:val="none" w:sz="0" w:space="0" w:color="auto"/>
          </w:divBdr>
        </w:div>
        <w:div w:id="30612445">
          <w:marLeft w:val="0"/>
          <w:marRight w:val="0"/>
          <w:marTop w:val="0"/>
          <w:marBottom w:val="0"/>
          <w:divBdr>
            <w:top w:val="none" w:sz="0" w:space="0" w:color="auto"/>
            <w:left w:val="none" w:sz="0" w:space="0" w:color="auto"/>
            <w:bottom w:val="none" w:sz="0" w:space="0" w:color="auto"/>
            <w:right w:val="none" w:sz="0" w:space="0" w:color="auto"/>
          </w:divBdr>
        </w:div>
        <w:div w:id="2050568111">
          <w:marLeft w:val="0"/>
          <w:marRight w:val="0"/>
          <w:marTop w:val="0"/>
          <w:marBottom w:val="0"/>
          <w:divBdr>
            <w:top w:val="none" w:sz="0" w:space="0" w:color="auto"/>
            <w:left w:val="none" w:sz="0" w:space="0" w:color="auto"/>
            <w:bottom w:val="none" w:sz="0" w:space="0" w:color="auto"/>
            <w:right w:val="none" w:sz="0" w:space="0" w:color="auto"/>
          </w:divBdr>
        </w:div>
        <w:div w:id="1791700982">
          <w:marLeft w:val="0"/>
          <w:marRight w:val="0"/>
          <w:marTop w:val="0"/>
          <w:marBottom w:val="0"/>
          <w:divBdr>
            <w:top w:val="none" w:sz="0" w:space="0" w:color="auto"/>
            <w:left w:val="none" w:sz="0" w:space="0" w:color="auto"/>
            <w:bottom w:val="none" w:sz="0" w:space="0" w:color="auto"/>
            <w:right w:val="none" w:sz="0" w:space="0" w:color="auto"/>
          </w:divBdr>
        </w:div>
        <w:div w:id="2061398308">
          <w:marLeft w:val="0"/>
          <w:marRight w:val="0"/>
          <w:marTop w:val="0"/>
          <w:marBottom w:val="0"/>
          <w:divBdr>
            <w:top w:val="none" w:sz="0" w:space="0" w:color="auto"/>
            <w:left w:val="none" w:sz="0" w:space="0" w:color="auto"/>
            <w:bottom w:val="none" w:sz="0" w:space="0" w:color="auto"/>
            <w:right w:val="none" w:sz="0" w:space="0" w:color="auto"/>
          </w:divBdr>
        </w:div>
      </w:divsChild>
    </w:div>
    <w:div w:id="825054161">
      <w:bodyDiv w:val="1"/>
      <w:marLeft w:val="0"/>
      <w:marRight w:val="0"/>
      <w:marTop w:val="0"/>
      <w:marBottom w:val="0"/>
      <w:divBdr>
        <w:top w:val="none" w:sz="0" w:space="0" w:color="auto"/>
        <w:left w:val="none" w:sz="0" w:space="0" w:color="auto"/>
        <w:bottom w:val="none" w:sz="0" w:space="0" w:color="auto"/>
        <w:right w:val="none" w:sz="0" w:space="0" w:color="auto"/>
      </w:divBdr>
      <w:divsChild>
        <w:div w:id="147867462">
          <w:marLeft w:val="0"/>
          <w:marRight w:val="0"/>
          <w:marTop w:val="0"/>
          <w:marBottom w:val="0"/>
          <w:divBdr>
            <w:top w:val="none" w:sz="0" w:space="0" w:color="auto"/>
            <w:left w:val="none" w:sz="0" w:space="0" w:color="auto"/>
            <w:bottom w:val="none" w:sz="0" w:space="0" w:color="auto"/>
            <w:right w:val="none" w:sz="0" w:space="0" w:color="auto"/>
          </w:divBdr>
        </w:div>
        <w:div w:id="1688480325">
          <w:marLeft w:val="0"/>
          <w:marRight w:val="0"/>
          <w:marTop w:val="0"/>
          <w:marBottom w:val="0"/>
          <w:divBdr>
            <w:top w:val="none" w:sz="0" w:space="0" w:color="auto"/>
            <w:left w:val="none" w:sz="0" w:space="0" w:color="auto"/>
            <w:bottom w:val="none" w:sz="0" w:space="0" w:color="auto"/>
            <w:right w:val="none" w:sz="0" w:space="0" w:color="auto"/>
          </w:divBdr>
        </w:div>
        <w:div w:id="616524881">
          <w:marLeft w:val="0"/>
          <w:marRight w:val="0"/>
          <w:marTop w:val="0"/>
          <w:marBottom w:val="0"/>
          <w:divBdr>
            <w:top w:val="none" w:sz="0" w:space="0" w:color="auto"/>
            <w:left w:val="none" w:sz="0" w:space="0" w:color="auto"/>
            <w:bottom w:val="none" w:sz="0" w:space="0" w:color="auto"/>
            <w:right w:val="none" w:sz="0" w:space="0" w:color="auto"/>
          </w:divBdr>
        </w:div>
        <w:div w:id="2093499881">
          <w:marLeft w:val="0"/>
          <w:marRight w:val="0"/>
          <w:marTop w:val="0"/>
          <w:marBottom w:val="0"/>
          <w:divBdr>
            <w:top w:val="none" w:sz="0" w:space="0" w:color="auto"/>
            <w:left w:val="none" w:sz="0" w:space="0" w:color="auto"/>
            <w:bottom w:val="none" w:sz="0" w:space="0" w:color="auto"/>
            <w:right w:val="none" w:sz="0" w:space="0" w:color="auto"/>
          </w:divBdr>
        </w:div>
        <w:div w:id="578371883">
          <w:marLeft w:val="0"/>
          <w:marRight w:val="0"/>
          <w:marTop w:val="0"/>
          <w:marBottom w:val="0"/>
          <w:divBdr>
            <w:top w:val="none" w:sz="0" w:space="0" w:color="auto"/>
            <w:left w:val="none" w:sz="0" w:space="0" w:color="auto"/>
            <w:bottom w:val="none" w:sz="0" w:space="0" w:color="auto"/>
            <w:right w:val="none" w:sz="0" w:space="0" w:color="auto"/>
          </w:divBdr>
        </w:div>
        <w:div w:id="435372480">
          <w:marLeft w:val="0"/>
          <w:marRight w:val="0"/>
          <w:marTop w:val="0"/>
          <w:marBottom w:val="0"/>
          <w:divBdr>
            <w:top w:val="none" w:sz="0" w:space="0" w:color="auto"/>
            <w:left w:val="none" w:sz="0" w:space="0" w:color="auto"/>
            <w:bottom w:val="none" w:sz="0" w:space="0" w:color="auto"/>
            <w:right w:val="none" w:sz="0" w:space="0" w:color="auto"/>
          </w:divBdr>
        </w:div>
        <w:div w:id="265843578">
          <w:marLeft w:val="0"/>
          <w:marRight w:val="0"/>
          <w:marTop w:val="0"/>
          <w:marBottom w:val="0"/>
          <w:divBdr>
            <w:top w:val="none" w:sz="0" w:space="0" w:color="auto"/>
            <w:left w:val="none" w:sz="0" w:space="0" w:color="auto"/>
            <w:bottom w:val="none" w:sz="0" w:space="0" w:color="auto"/>
            <w:right w:val="none" w:sz="0" w:space="0" w:color="auto"/>
          </w:divBdr>
        </w:div>
      </w:divsChild>
    </w:div>
    <w:div w:id="999624300">
      <w:bodyDiv w:val="1"/>
      <w:marLeft w:val="0"/>
      <w:marRight w:val="0"/>
      <w:marTop w:val="0"/>
      <w:marBottom w:val="0"/>
      <w:divBdr>
        <w:top w:val="none" w:sz="0" w:space="0" w:color="auto"/>
        <w:left w:val="none" w:sz="0" w:space="0" w:color="auto"/>
        <w:bottom w:val="none" w:sz="0" w:space="0" w:color="auto"/>
        <w:right w:val="none" w:sz="0" w:space="0" w:color="auto"/>
      </w:divBdr>
      <w:divsChild>
        <w:div w:id="2042707925">
          <w:marLeft w:val="0"/>
          <w:marRight w:val="0"/>
          <w:marTop w:val="0"/>
          <w:marBottom w:val="0"/>
          <w:divBdr>
            <w:top w:val="none" w:sz="0" w:space="0" w:color="auto"/>
            <w:left w:val="none" w:sz="0" w:space="0" w:color="auto"/>
            <w:bottom w:val="none" w:sz="0" w:space="0" w:color="auto"/>
            <w:right w:val="none" w:sz="0" w:space="0" w:color="auto"/>
          </w:divBdr>
        </w:div>
        <w:div w:id="2041665567">
          <w:marLeft w:val="0"/>
          <w:marRight w:val="0"/>
          <w:marTop w:val="0"/>
          <w:marBottom w:val="0"/>
          <w:divBdr>
            <w:top w:val="none" w:sz="0" w:space="0" w:color="auto"/>
            <w:left w:val="none" w:sz="0" w:space="0" w:color="auto"/>
            <w:bottom w:val="none" w:sz="0" w:space="0" w:color="auto"/>
            <w:right w:val="none" w:sz="0" w:space="0" w:color="auto"/>
          </w:divBdr>
        </w:div>
      </w:divsChild>
    </w:div>
    <w:div w:id="1071344398">
      <w:bodyDiv w:val="1"/>
      <w:marLeft w:val="0"/>
      <w:marRight w:val="0"/>
      <w:marTop w:val="0"/>
      <w:marBottom w:val="0"/>
      <w:divBdr>
        <w:top w:val="none" w:sz="0" w:space="0" w:color="auto"/>
        <w:left w:val="none" w:sz="0" w:space="0" w:color="auto"/>
        <w:bottom w:val="none" w:sz="0" w:space="0" w:color="auto"/>
        <w:right w:val="none" w:sz="0" w:space="0" w:color="auto"/>
      </w:divBdr>
      <w:divsChild>
        <w:div w:id="1098453197">
          <w:marLeft w:val="0"/>
          <w:marRight w:val="0"/>
          <w:marTop w:val="0"/>
          <w:marBottom w:val="0"/>
          <w:divBdr>
            <w:top w:val="none" w:sz="0" w:space="0" w:color="auto"/>
            <w:left w:val="none" w:sz="0" w:space="0" w:color="auto"/>
            <w:bottom w:val="none" w:sz="0" w:space="0" w:color="auto"/>
            <w:right w:val="none" w:sz="0" w:space="0" w:color="auto"/>
          </w:divBdr>
        </w:div>
        <w:div w:id="299381962">
          <w:marLeft w:val="0"/>
          <w:marRight w:val="0"/>
          <w:marTop w:val="0"/>
          <w:marBottom w:val="0"/>
          <w:divBdr>
            <w:top w:val="none" w:sz="0" w:space="0" w:color="auto"/>
            <w:left w:val="none" w:sz="0" w:space="0" w:color="auto"/>
            <w:bottom w:val="none" w:sz="0" w:space="0" w:color="auto"/>
            <w:right w:val="none" w:sz="0" w:space="0" w:color="auto"/>
          </w:divBdr>
        </w:div>
        <w:div w:id="1116366135">
          <w:marLeft w:val="0"/>
          <w:marRight w:val="0"/>
          <w:marTop w:val="0"/>
          <w:marBottom w:val="0"/>
          <w:divBdr>
            <w:top w:val="none" w:sz="0" w:space="0" w:color="auto"/>
            <w:left w:val="none" w:sz="0" w:space="0" w:color="auto"/>
            <w:bottom w:val="none" w:sz="0" w:space="0" w:color="auto"/>
            <w:right w:val="none" w:sz="0" w:space="0" w:color="auto"/>
          </w:divBdr>
        </w:div>
        <w:div w:id="209806360">
          <w:marLeft w:val="0"/>
          <w:marRight w:val="0"/>
          <w:marTop w:val="0"/>
          <w:marBottom w:val="0"/>
          <w:divBdr>
            <w:top w:val="none" w:sz="0" w:space="0" w:color="auto"/>
            <w:left w:val="none" w:sz="0" w:space="0" w:color="auto"/>
            <w:bottom w:val="none" w:sz="0" w:space="0" w:color="auto"/>
            <w:right w:val="none" w:sz="0" w:space="0" w:color="auto"/>
          </w:divBdr>
        </w:div>
        <w:div w:id="513225271">
          <w:marLeft w:val="0"/>
          <w:marRight w:val="0"/>
          <w:marTop w:val="0"/>
          <w:marBottom w:val="0"/>
          <w:divBdr>
            <w:top w:val="none" w:sz="0" w:space="0" w:color="auto"/>
            <w:left w:val="none" w:sz="0" w:space="0" w:color="auto"/>
            <w:bottom w:val="none" w:sz="0" w:space="0" w:color="auto"/>
            <w:right w:val="none" w:sz="0" w:space="0" w:color="auto"/>
          </w:divBdr>
        </w:div>
        <w:div w:id="44136805">
          <w:marLeft w:val="0"/>
          <w:marRight w:val="0"/>
          <w:marTop w:val="0"/>
          <w:marBottom w:val="0"/>
          <w:divBdr>
            <w:top w:val="none" w:sz="0" w:space="0" w:color="auto"/>
            <w:left w:val="none" w:sz="0" w:space="0" w:color="auto"/>
            <w:bottom w:val="none" w:sz="0" w:space="0" w:color="auto"/>
            <w:right w:val="none" w:sz="0" w:space="0" w:color="auto"/>
          </w:divBdr>
        </w:div>
      </w:divsChild>
    </w:div>
    <w:div w:id="1097991698">
      <w:bodyDiv w:val="1"/>
      <w:marLeft w:val="0"/>
      <w:marRight w:val="0"/>
      <w:marTop w:val="0"/>
      <w:marBottom w:val="0"/>
      <w:divBdr>
        <w:top w:val="none" w:sz="0" w:space="0" w:color="auto"/>
        <w:left w:val="none" w:sz="0" w:space="0" w:color="auto"/>
        <w:bottom w:val="none" w:sz="0" w:space="0" w:color="auto"/>
        <w:right w:val="none" w:sz="0" w:space="0" w:color="auto"/>
      </w:divBdr>
      <w:divsChild>
        <w:div w:id="1926113941">
          <w:marLeft w:val="0"/>
          <w:marRight w:val="0"/>
          <w:marTop w:val="0"/>
          <w:marBottom w:val="0"/>
          <w:divBdr>
            <w:top w:val="none" w:sz="0" w:space="0" w:color="auto"/>
            <w:left w:val="none" w:sz="0" w:space="0" w:color="auto"/>
            <w:bottom w:val="none" w:sz="0" w:space="0" w:color="auto"/>
            <w:right w:val="none" w:sz="0" w:space="0" w:color="auto"/>
          </w:divBdr>
        </w:div>
        <w:div w:id="607009404">
          <w:marLeft w:val="0"/>
          <w:marRight w:val="0"/>
          <w:marTop w:val="0"/>
          <w:marBottom w:val="0"/>
          <w:divBdr>
            <w:top w:val="none" w:sz="0" w:space="0" w:color="auto"/>
            <w:left w:val="none" w:sz="0" w:space="0" w:color="auto"/>
            <w:bottom w:val="none" w:sz="0" w:space="0" w:color="auto"/>
            <w:right w:val="none" w:sz="0" w:space="0" w:color="auto"/>
          </w:divBdr>
        </w:div>
      </w:divsChild>
    </w:div>
    <w:div w:id="1135835124">
      <w:bodyDiv w:val="1"/>
      <w:marLeft w:val="0"/>
      <w:marRight w:val="0"/>
      <w:marTop w:val="0"/>
      <w:marBottom w:val="0"/>
      <w:divBdr>
        <w:top w:val="none" w:sz="0" w:space="0" w:color="auto"/>
        <w:left w:val="none" w:sz="0" w:space="0" w:color="auto"/>
        <w:bottom w:val="none" w:sz="0" w:space="0" w:color="auto"/>
        <w:right w:val="none" w:sz="0" w:space="0" w:color="auto"/>
      </w:divBdr>
      <w:divsChild>
        <w:div w:id="1658067895">
          <w:marLeft w:val="0"/>
          <w:marRight w:val="0"/>
          <w:marTop w:val="0"/>
          <w:marBottom w:val="0"/>
          <w:divBdr>
            <w:top w:val="none" w:sz="0" w:space="0" w:color="auto"/>
            <w:left w:val="none" w:sz="0" w:space="0" w:color="auto"/>
            <w:bottom w:val="none" w:sz="0" w:space="0" w:color="auto"/>
            <w:right w:val="none" w:sz="0" w:space="0" w:color="auto"/>
          </w:divBdr>
          <w:divsChild>
            <w:div w:id="7466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6578">
      <w:bodyDiv w:val="1"/>
      <w:marLeft w:val="0"/>
      <w:marRight w:val="0"/>
      <w:marTop w:val="0"/>
      <w:marBottom w:val="0"/>
      <w:divBdr>
        <w:top w:val="none" w:sz="0" w:space="0" w:color="auto"/>
        <w:left w:val="none" w:sz="0" w:space="0" w:color="auto"/>
        <w:bottom w:val="none" w:sz="0" w:space="0" w:color="auto"/>
        <w:right w:val="none" w:sz="0" w:space="0" w:color="auto"/>
      </w:divBdr>
      <w:divsChild>
        <w:div w:id="1936554616">
          <w:marLeft w:val="0"/>
          <w:marRight w:val="0"/>
          <w:marTop w:val="0"/>
          <w:marBottom w:val="0"/>
          <w:divBdr>
            <w:top w:val="none" w:sz="0" w:space="0" w:color="auto"/>
            <w:left w:val="none" w:sz="0" w:space="0" w:color="auto"/>
            <w:bottom w:val="none" w:sz="0" w:space="0" w:color="auto"/>
            <w:right w:val="none" w:sz="0" w:space="0" w:color="auto"/>
          </w:divBdr>
        </w:div>
        <w:div w:id="1950548370">
          <w:marLeft w:val="0"/>
          <w:marRight w:val="0"/>
          <w:marTop w:val="0"/>
          <w:marBottom w:val="0"/>
          <w:divBdr>
            <w:top w:val="none" w:sz="0" w:space="0" w:color="auto"/>
            <w:left w:val="none" w:sz="0" w:space="0" w:color="auto"/>
            <w:bottom w:val="none" w:sz="0" w:space="0" w:color="auto"/>
            <w:right w:val="none" w:sz="0" w:space="0" w:color="auto"/>
          </w:divBdr>
        </w:div>
      </w:divsChild>
    </w:div>
    <w:div w:id="1606115187">
      <w:bodyDiv w:val="1"/>
      <w:marLeft w:val="0"/>
      <w:marRight w:val="0"/>
      <w:marTop w:val="0"/>
      <w:marBottom w:val="0"/>
      <w:divBdr>
        <w:top w:val="none" w:sz="0" w:space="0" w:color="auto"/>
        <w:left w:val="none" w:sz="0" w:space="0" w:color="auto"/>
        <w:bottom w:val="none" w:sz="0" w:space="0" w:color="auto"/>
        <w:right w:val="none" w:sz="0" w:space="0" w:color="auto"/>
      </w:divBdr>
      <w:divsChild>
        <w:div w:id="568535979">
          <w:marLeft w:val="0"/>
          <w:marRight w:val="0"/>
          <w:marTop w:val="0"/>
          <w:marBottom w:val="0"/>
          <w:divBdr>
            <w:top w:val="none" w:sz="0" w:space="0" w:color="auto"/>
            <w:left w:val="none" w:sz="0" w:space="0" w:color="auto"/>
            <w:bottom w:val="none" w:sz="0" w:space="0" w:color="auto"/>
            <w:right w:val="none" w:sz="0" w:space="0" w:color="auto"/>
          </w:divBdr>
        </w:div>
        <w:div w:id="1432124631">
          <w:marLeft w:val="0"/>
          <w:marRight w:val="0"/>
          <w:marTop w:val="0"/>
          <w:marBottom w:val="0"/>
          <w:divBdr>
            <w:top w:val="none" w:sz="0" w:space="0" w:color="auto"/>
            <w:left w:val="none" w:sz="0" w:space="0" w:color="auto"/>
            <w:bottom w:val="none" w:sz="0" w:space="0" w:color="auto"/>
            <w:right w:val="none" w:sz="0" w:space="0" w:color="auto"/>
          </w:divBdr>
        </w:div>
        <w:div w:id="43021164">
          <w:marLeft w:val="0"/>
          <w:marRight w:val="0"/>
          <w:marTop w:val="0"/>
          <w:marBottom w:val="0"/>
          <w:divBdr>
            <w:top w:val="none" w:sz="0" w:space="0" w:color="auto"/>
            <w:left w:val="none" w:sz="0" w:space="0" w:color="auto"/>
            <w:bottom w:val="none" w:sz="0" w:space="0" w:color="auto"/>
            <w:right w:val="none" w:sz="0" w:space="0" w:color="auto"/>
          </w:divBdr>
        </w:div>
        <w:div w:id="846211060">
          <w:marLeft w:val="0"/>
          <w:marRight w:val="0"/>
          <w:marTop w:val="0"/>
          <w:marBottom w:val="0"/>
          <w:divBdr>
            <w:top w:val="none" w:sz="0" w:space="0" w:color="auto"/>
            <w:left w:val="none" w:sz="0" w:space="0" w:color="auto"/>
            <w:bottom w:val="none" w:sz="0" w:space="0" w:color="auto"/>
            <w:right w:val="none" w:sz="0" w:space="0" w:color="auto"/>
          </w:divBdr>
        </w:div>
        <w:div w:id="1213929989">
          <w:marLeft w:val="0"/>
          <w:marRight w:val="0"/>
          <w:marTop w:val="0"/>
          <w:marBottom w:val="0"/>
          <w:divBdr>
            <w:top w:val="none" w:sz="0" w:space="0" w:color="auto"/>
            <w:left w:val="none" w:sz="0" w:space="0" w:color="auto"/>
            <w:bottom w:val="none" w:sz="0" w:space="0" w:color="auto"/>
            <w:right w:val="none" w:sz="0" w:space="0" w:color="auto"/>
          </w:divBdr>
        </w:div>
        <w:div w:id="1003356418">
          <w:marLeft w:val="0"/>
          <w:marRight w:val="0"/>
          <w:marTop w:val="0"/>
          <w:marBottom w:val="0"/>
          <w:divBdr>
            <w:top w:val="none" w:sz="0" w:space="0" w:color="auto"/>
            <w:left w:val="none" w:sz="0" w:space="0" w:color="auto"/>
            <w:bottom w:val="none" w:sz="0" w:space="0" w:color="auto"/>
            <w:right w:val="none" w:sz="0" w:space="0" w:color="auto"/>
          </w:divBdr>
        </w:div>
        <w:div w:id="703555060">
          <w:marLeft w:val="0"/>
          <w:marRight w:val="0"/>
          <w:marTop w:val="0"/>
          <w:marBottom w:val="0"/>
          <w:divBdr>
            <w:top w:val="none" w:sz="0" w:space="0" w:color="auto"/>
            <w:left w:val="none" w:sz="0" w:space="0" w:color="auto"/>
            <w:bottom w:val="none" w:sz="0" w:space="0" w:color="auto"/>
            <w:right w:val="none" w:sz="0" w:space="0" w:color="auto"/>
          </w:divBdr>
        </w:div>
      </w:divsChild>
    </w:div>
    <w:div w:id="1626615651">
      <w:bodyDiv w:val="1"/>
      <w:marLeft w:val="0"/>
      <w:marRight w:val="0"/>
      <w:marTop w:val="0"/>
      <w:marBottom w:val="0"/>
      <w:divBdr>
        <w:top w:val="none" w:sz="0" w:space="0" w:color="auto"/>
        <w:left w:val="none" w:sz="0" w:space="0" w:color="auto"/>
        <w:bottom w:val="none" w:sz="0" w:space="0" w:color="auto"/>
        <w:right w:val="none" w:sz="0" w:space="0" w:color="auto"/>
      </w:divBdr>
      <w:divsChild>
        <w:div w:id="1881745453">
          <w:marLeft w:val="0"/>
          <w:marRight w:val="0"/>
          <w:marTop w:val="0"/>
          <w:marBottom w:val="0"/>
          <w:divBdr>
            <w:top w:val="none" w:sz="0" w:space="0" w:color="auto"/>
            <w:left w:val="none" w:sz="0" w:space="0" w:color="auto"/>
            <w:bottom w:val="none" w:sz="0" w:space="0" w:color="auto"/>
            <w:right w:val="none" w:sz="0" w:space="0" w:color="auto"/>
          </w:divBdr>
        </w:div>
      </w:divsChild>
    </w:div>
    <w:div w:id="1667392601">
      <w:bodyDiv w:val="1"/>
      <w:marLeft w:val="0"/>
      <w:marRight w:val="0"/>
      <w:marTop w:val="0"/>
      <w:marBottom w:val="0"/>
      <w:divBdr>
        <w:top w:val="none" w:sz="0" w:space="0" w:color="auto"/>
        <w:left w:val="none" w:sz="0" w:space="0" w:color="auto"/>
        <w:bottom w:val="none" w:sz="0" w:space="0" w:color="auto"/>
        <w:right w:val="none" w:sz="0" w:space="0" w:color="auto"/>
      </w:divBdr>
      <w:divsChild>
        <w:div w:id="865097286">
          <w:marLeft w:val="0"/>
          <w:marRight w:val="0"/>
          <w:marTop w:val="0"/>
          <w:marBottom w:val="0"/>
          <w:divBdr>
            <w:top w:val="none" w:sz="0" w:space="0" w:color="auto"/>
            <w:left w:val="none" w:sz="0" w:space="0" w:color="auto"/>
            <w:bottom w:val="none" w:sz="0" w:space="0" w:color="auto"/>
            <w:right w:val="none" w:sz="0" w:space="0" w:color="auto"/>
          </w:divBdr>
        </w:div>
        <w:div w:id="1546092272">
          <w:marLeft w:val="0"/>
          <w:marRight w:val="0"/>
          <w:marTop w:val="0"/>
          <w:marBottom w:val="0"/>
          <w:divBdr>
            <w:top w:val="none" w:sz="0" w:space="0" w:color="auto"/>
            <w:left w:val="none" w:sz="0" w:space="0" w:color="auto"/>
            <w:bottom w:val="none" w:sz="0" w:space="0" w:color="auto"/>
            <w:right w:val="none" w:sz="0" w:space="0" w:color="auto"/>
          </w:divBdr>
        </w:div>
      </w:divsChild>
    </w:div>
    <w:div w:id="2078897220">
      <w:bodyDiv w:val="1"/>
      <w:marLeft w:val="0"/>
      <w:marRight w:val="0"/>
      <w:marTop w:val="0"/>
      <w:marBottom w:val="0"/>
      <w:divBdr>
        <w:top w:val="none" w:sz="0" w:space="0" w:color="auto"/>
        <w:left w:val="none" w:sz="0" w:space="0" w:color="auto"/>
        <w:bottom w:val="none" w:sz="0" w:space="0" w:color="auto"/>
        <w:right w:val="none" w:sz="0" w:space="0" w:color="auto"/>
      </w:divBdr>
      <w:divsChild>
        <w:div w:id="1496606893">
          <w:marLeft w:val="0"/>
          <w:marRight w:val="0"/>
          <w:marTop w:val="0"/>
          <w:marBottom w:val="0"/>
          <w:divBdr>
            <w:top w:val="none" w:sz="0" w:space="0" w:color="auto"/>
            <w:left w:val="none" w:sz="0" w:space="0" w:color="auto"/>
            <w:bottom w:val="none" w:sz="0" w:space="0" w:color="auto"/>
            <w:right w:val="none" w:sz="0" w:space="0" w:color="auto"/>
          </w:divBdr>
        </w:div>
        <w:div w:id="1281256601">
          <w:marLeft w:val="0"/>
          <w:marRight w:val="0"/>
          <w:marTop w:val="0"/>
          <w:marBottom w:val="0"/>
          <w:divBdr>
            <w:top w:val="none" w:sz="0" w:space="0" w:color="auto"/>
            <w:left w:val="none" w:sz="0" w:space="0" w:color="auto"/>
            <w:bottom w:val="none" w:sz="0" w:space="0" w:color="auto"/>
            <w:right w:val="none" w:sz="0" w:space="0" w:color="auto"/>
          </w:divBdr>
        </w:div>
        <w:div w:id="1231883404">
          <w:marLeft w:val="0"/>
          <w:marRight w:val="0"/>
          <w:marTop w:val="0"/>
          <w:marBottom w:val="0"/>
          <w:divBdr>
            <w:top w:val="none" w:sz="0" w:space="0" w:color="auto"/>
            <w:left w:val="none" w:sz="0" w:space="0" w:color="auto"/>
            <w:bottom w:val="none" w:sz="0" w:space="0" w:color="auto"/>
            <w:right w:val="none" w:sz="0" w:space="0" w:color="auto"/>
          </w:divBdr>
        </w:div>
        <w:div w:id="1371414227">
          <w:marLeft w:val="0"/>
          <w:marRight w:val="0"/>
          <w:marTop w:val="0"/>
          <w:marBottom w:val="0"/>
          <w:divBdr>
            <w:top w:val="none" w:sz="0" w:space="0" w:color="auto"/>
            <w:left w:val="none" w:sz="0" w:space="0" w:color="auto"/>
            <w:bottom w:val="none" w:sz="0" w:space="0" w:color="auto"/>
            <w:right w:val="none" w:sz="0" w:space="0" w:color="auto"/>
          </w:divBdr>
        </w:div>
        <w:div w:id="513110347">
          <w:marLeft w:val="0"/>
          <w:marRight w:val="0"/>
          <w:marTop w:val="0"/>
          <w:marBottom w:val="0"/>
          <w:divBdr>
            <w:top w:val="none" w:sz="0" w:space="0" w:color="auto"/>
            <w:left w:val="none" w:sz="0" w:space="0" w:color="auto"/>
            <w:bottom w:val="none" w:sz="0" w:space="0" w:color="auto"/>
            <w:right w:val="none" w:sz="0" w:space="0" w:color="auto"/>
          </w:divBdr>
        </w:div>
        <w:div w:id="2075007823">
          <w:marLeft w:val="0"/>
          <w:marRight w:val="0"/>
          <w:marTop w:val="0"/>
          <w:marBottom w:val="0"/>
          <w:divBdr>
            <w:top w:val="none" w:sz="0" w:space="0" w:color="auto"/>
            <w:left w:val="none" w:sz="0" w:space="0" w:color="auto"/>
            <w:bottom w:val="none" w:sz="0" w:space="0" w:color="auto"/>
            <w:right w:val="none" w:sz="0" w:space="0" w:color="auto"/>
          </w:divBdr>
        </w:div>
        <w:div w:id="760494992">
          <w:marLeft w:val="0"/>
          <w:marRight w:val="0"/>
          <w:marTop w:val="0"/>
          <w:marBottom w:val="0"/>
          <w:divBdr>
            <w:top w:val="none" w:sz="0" w:space="0" w:color="auto"/>
            <w:left w:val="none" w:sz="0" w:space="0" w:color="auto"/>
            <w:bottom w:val="none" w:sz="0" w:space="0" w:color="auto"/>
            <w:right w:val="none" w:sz="0" w:space="0" w:color="auto"/>
          </w:divBdr>
        </w:div>
        <w:div w:id="546187323">
          <w:marLeft w:val="0"/>
          <w:marRight w:val="0"/>
          <w:marTop w:val="0"/>
          <w:marBottom w:val="0"/>
          <w:divBdr>
            <w:top w:val="none" w:sz="0" w:space="0" w:color="auto"/>
            <w:left w:val="none" w:sz="0" w:space="0" w:color="auto"/>
            <w:bottom w:val="none" w:sz="0" w:space="0" w:color="auto"/>
            <w:right w:val="none" w:sz="0" w:space="0" w:color="auto"/>
          </w:divBdr>
        </w:div>
        <w:div w:id="1661152766">
          <w:marLeft w:val="0"/>
          <w:marRight w:val="0"/>
          <w:marTop w:val="0"/>
          <w:marBottom w:val="0"/>
          <w:divBdr>
            <w:top w:val="none" w:sz="0" w:space="0" w:color="auto"/>
            <w:left w:val="none" w:sz="0" w:space="0" w:color="auto"/>
            <w:bottom w:val="none" w:sz="0" w:space="0" w:color="auto"/>
            <w:right w:val="none" w:sz="0" w:space="0" w:color="auto"/>
          </w:divBdr>
        </w:div>
      </w:divsChild>
    </w:div>
    <w:div w:id="2137486941">
      <w:bodyDiv w:val="1"/>
      <w:marLeft w:val="0"/>
      <w:marRight w:val="0"/>
      <w:marTop w:val="0"/>
      <w:marBottom w:val="0"/>
      <w:divBdr>
        <w:top w:val="none" w:sz="0" w:space="0" w:color="auto"/>
        <w:left w:val="none" w:sz="0" w:space="0" w:color="auto"/>
        <w:bottom w:val="none" w:sz="0" w:space="0" w:color="auto"/>
        <w:right w:val="none" w:sz="0" w:space="0" w:color="auto"/>
      </w:divBdr>
      <w:divsChild>
        <w:div w:id="1891266935">
          <w:marLeft w:val="0"/>
          <w:marRight w:val="0"/>
          <w:marTop w:val="0"/>
          <w:marBottom w:val="0"/>
          <w:divBdr>
            <w:top w:val="none" w:sz="0" w:space="0" w:color="auto"/>
            <w:left w:val="none" w:sz="0" w:space="0" w:color="auto"/>
            <w:bottom w:val="none" w:sz="0" w:space="0" w:color="auto"/>
            <w:right w:val="none" w:sz="0" w:space="0" w:color="auto"/>
          </w:divBdr>
        </w:div>
        <w:div w:id="24793002">
          <w:marLeft w:val="0"/>
          <w:marRight w:val="0"/>
          <w:marTop w:val="0"/>
          <w:marBottom w:val="0"/>
          <w:divBdr>
            <w:top w:val="none" w:sz="0" w:space="0" w:color="auto"/>
            <w:left w:val="none" w:sz="0" w:space="0" w:color="auto"/>
            <w:bottom w:val="none" w:sz="0" w:space="0" w:color="auto"/>
            <w:right w:val="none" w:sz="0" w:space="0" w:color="auto"/>
          </w:divBdr>
        </w:div>
        <w:div w:id="101561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13</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Sawere</dc:creator>
  <cp:lastModifiedBy>Karen Ferreira-Meyers</cp:lastModifiedBy>
  <cp:revision>8</cp:revision>
  <cp:lastPrinted>2018-03-13T12:27:00Z</cp:lastPrinted>
  <dcterms:created xsi:type="dcterms:W3CDTF">2018-03-17T16:50:00Z</dcterms:created>
  <dcterms:modified xsi:type="dcterms:W3CDTF">2018-03-19T14:08:00Z</dcterms:modified>
</cp:coreProperties>
</file>