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B4" w:rsidRPr="00005466" w:rsidRDefault="005F7FB4" w:rsidP="005F7F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</w:pPr>
      <w:r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SADC/TNF-Serv/</w:t>
      </w:r>
      <w:r w:rsidR="00005466"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35</w:t>
      </w:r>
      <w:r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/201</w:t>
      </w:r>
      <w:r w:rsidR="00005466"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8</w:t>
      </w:r>
      <w:r w:rsidR="00005466"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ab/>
      </w:r>
      <w:r w:rsidR="00EA221A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ab/>
      </w:r>
      <w:r w:rsidR="00EA221A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ab/>
      </w:r>
      <w:r w:rsidR="00EA221A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ab/>
      </w:r>
      <w:r w:rsidR="00EA221A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ab/>
      </w:r>
      <w:r w:rsidR="00EA221A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ab/>
        <w:t>Adopted</w:t>
      </w:r>
      <w:r w:rsid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 xml:space="preserve"> 2</w:t>
      </w:r>
      <w:r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0/</w:t>
      </w:r>
      <w:r w:rsid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03</w:t>
      </w:r>
      <w:r w:rsidRP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/201</w:t>
      </w:r>
      <w:r w:rsidR="00005466">
        <w:rPr>
          <w:rFonts w:ascii="Arial" w:hAnsi="Arial" w:cs="Arial"/>
          <w:b/>
          <w:bCs/>
          <w:noProof/>
          <w:color w:val="000000"/>
          <w:sz w:val="24"/>
          <w:szCs w:val="24"/>
          <w:lang w:val="pt-BR"/>
        </w:rPr>
        <w:t>8</w:t>
      </w:r>
    </w:p>
    <w:p w:rsidR="005F7FB4" w:rsidRPr="00005466" w:rsidRDefault="005F7FB4" w:rsidP="005F7F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4D279E">
        <w:rPr>
          <w:rFonts w:ascii="Arial" w:hAnsi="Arial" w:cs="Arial"/>
          <w:b/>
          <w:bCs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4B8828CF" wp14:editId="419267DD">
            <wp:extent cx="2057401" cy="1933575"/>
            <wp:effectExtent l="0" t="0" r="0" b="9525"/>
            <wp:docPr id="1" name="Picture 1" descr="Description: ../Local%20Settings/Temporary%20Internet%20Files/OLK6/Talking%20Notes/WINNT/Profiles/faithk/Temporary%20Internet%20Files/OLK4A/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../Local%20Settings/Temporary%20Internet%20Files/OLK6/Talking%20Notes/WINNT/Profiles/faithk/Temporary%20Internet%20Files/OLK4A/sadclogo_medium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33" cy="194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B4" w:rsidRDefault="005F7FB4" w:rsidP="00C92A65">
      <w:pPr>
        <w:jc w:val="center"/>
        <w:rPr>
          <w:rFonts w:ascii="Arial" w:hAnsi="Arial" w:cs="Arial"/>
          <w:b/>
          <w:sz w:val="23"/>
          <w:szCs w:val="23"/>
        </w:rPr>
      </w:pPr>
    </w:p>
    <w:p w:rsidR="00C92A65" w:rsidRPr="00EA221A" w:rsidRDefault="005F7FB4" w:rsidP="00C92A65">
      <w:pPr>
        <w:jc w:val="center"/>
        <w:rPr>
          <w:rFonts w:ascii="Arial" w:hAnsi="Arial" w:cs="Arial"/>
          <w:b/>
          <w:sz w:val="23"/>
          <w:szCs w:val="23"/>
        </w:rPr>
      </w:pPr>
      <w:r w:rsidRPr="00EA221A">
        <w:rPr>
          <w:rFonts w:ascii="Arial" w:hAnsi="Arial" w:cs="Arial"/>
          <w:b/>
          <w:sz w:val="23"/>
          <w:szCs w:val="23"/>
        </w:rPr>
        <w:t>ANEXO SOBRE</w:t>
      </w:r>
    </w:p>
    <w:p w:rsidR="005F7FB4" w:rsidRDefault="00C92A65" w:rsidP="00C92A65">
      <w:pPr>
        <w:pStyle w:val="ListParagraph"/>
        <w:tabs>
          <w:tab w:val="left" w:pos="3045"/>
        </w:tabs>
        <w:spacing w:before="240"/>
        <w:ind w:left="0"/>
        <w:contextualSpacing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SERVIÇOS DE TELECOMUNICAÇÕES</w:t>
      </w:r>
    </w:p>
    <w:p w:rsidR="005F7FB4" w:rsidRDefault="005F7FB4" w:rsidP="00C92A65">
      <w:pPr>
        <w:pStyle w:val="ListParagraph"/>
        <w:tabs>
          <w:tab w:val="left" w:pos="3045"/>
        </w:tabs>
        <w:spacing w:before="240"/>
        <w:ind w:left="0"/>
        <w:contextualSpacing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__________________________________________</w:t>
      </w:r>
    </w:p>
    <w:p w:rsidR="00C92A65" w:rsidRDefault="00C92A65" w:rsidP="00C92A65">
      <w:pPr>
        <w:pStyle w:val="ListParagraph"/>
        <w:tabs>
          <w:tab w:val="left" w:pos="3045"/>
        </w:tabs>
        <w:spacing w:before="240"/>
        <w:ind w:left="0"/>
        <w:contextualSpacing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</w:p>
    <w:p w:rsidR="005F7FB4" w:rsidRDefault="005F7FB4" w:rsidP="00C92A65">
      <w:pPr>
        <w:jc w:val="both"/>
        <w:rPr>
          <w:rFonts w:ascii="Arial" w:hAnsi="Arial" w:cs="Arial"/>
          <w:b/>
          <w:color w:val="000000"/>
        </w:rPr>
      </w:pPr>
      <w:r w:rsidRPr="004D279E">
        <w:rPr>
          <w:rFonts w:ascii="Arial" w:hAnsi="Arial" w:cs="Arial"/>
          <w:b/>
          <w:sz w:val="24"/>
          <w:szCs w:val="24"/>
        </w:rPr>
        <w:t xml:space="preserve">EM CONFORMIDADE </w:t>
      </w:r>
      <w:r w:rsidRPr="004D279E">
        <w:rPr>
          <w:rFonts w:ascii="Arial" w:hAnsi="Arial" w:cs="Arial"/>
          <w:sz w:val="24"/>
          <w:szCs w:val="24"/>
        </w:rPr>
        <w:t>com o Artigo 26</w:t>
      </w:r>
      <w:r>
        <w:rPr>
          <w:rFonts w:ascii="Arial" w:hAnsi="Arial" w:cs="Arial"/>
          <w:sz w:val="24"/>
          <w:szCs w:val="24"/>
        </w:rPr>
        <w:t>.</w:t>
      </w:r>
      <w:r w:rsidRPr="004D279E">
        <w:rPr>
          <w:rFonts w:ascii="Arial" w:hAnsi="Arial" w:cs="Arial"/>
          <w:sz w:val="24"/>
          <w:szCs w:val="24"/>
        </w:rPr>
        <w:t>º do Protocolo sobre Comércio de Serviços que preconiza que os Estados Membros desenvolvam Anexos para a concretização da implementação do referido Protocolo;</w:t>
      </w:r>
    </w:p>
    <w:p w:rsidR="00C92A65" w:rsidRPr="005F7FB4" w:rsidRDefault="00C92A65" w:rsidP="00C92A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CONSIDERANDO 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as disposições do número 4 do Artigo 2º do Protocolo sobre Comércio de Serviços que estipula que os Estados Partes devem garantir a consistência entre a liberalização do comércio de serviços e os vários Protocolos nos sectores de serviços específicos; </w:t>
      </w:r>
    </w:p>
    <w:p w:rsidR="00C92A65" w:rsidRPr="005F7FB4" w:rsidRDefault="00C92A65" w:rsidP="00C92A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RECONHECENDO 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as especificidades do sector de serviços de telecomunicações e, em particular, do seu papel duplo como um sector distinto de actividade económica e como um meio de transporte subjacente de outras actividades económicas. </w:t>
      </w:r>
    </w:p>
    <w:p w:rsidR="00C92A65" w:rsidRPr="005F7FB4" w:rsidRDefault="00C92A65" w:rsidP="00C92A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PROCURANDO </w:t>
      </w:r>
      <w:r w:rsidRPr="005F7FB4">
        <w:rPr>
          <w:rFonts w:ascii="Arial" w:hAnsi="Arial" w:cs="Arial"/>
          <w:color w:val="000000"/>
          <w:sz w:val="24"/>
          <w:szCs w:val="24"/>
        </w:rPr>
        <w:t>aprofundar as disposições dos seus compromissos relativos à liberalização do comércio de serviços em termos das medidas que afectam o acesso ao uso das telecomunicações, redes e serviços de transportes públicos.</w:t>
      </w:r>
    </w:p>
    <w:p w:rsidR="00C92A65" w:rsidRPr="005F7FB4" w:rsidRDefault="00C92A65" w:rsidP="00C92A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NOTANDO 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que esta Nota de Topo oferece notas e disposições suplementares aos compromissos de liberalização dos serviços de telecomunicações </w:t>
      </w:r>
    </w:p>
    <w:p w:rsidR="00C92A65" w:rsidRPr="005F7FB4" w:rsidRDefault="00C92A65" w:rsidP="00C92A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ASSIM, ACORDAM 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no seguinte: </w:t>
      </w:r>
    </w:p>
    <w:p w:rsidR="00C92A65" w:rsidRPr="005F7FB4" w:rsidRDefault="00C92A65" w:rsidP="00EA221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lastRenderedPageBreak/>
        <w:t>ARTIGO 1º</w:t>
      </w:r>
    </w:p>
    <w:p w:rsidR="00C92A65" w:rsidRPr="005F7FB4" w:rsidRDefault="00C92A65" w:rsidP="005F7FB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  <w:u w:val="single"/>
        </w:rPr>
        <w:t>TERMOS E DEFINIÇÕES</w:t>
      </w:r>
    </w:p>
    <w:p w:rsidR="00C92A65" w:rsidRPr="005F7FB4" w:rsidRDefault="00C92A65" w:rsidP="00C92A6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 xml:space="preserve">Para efeito do presente Anexo, os termos e definições seguintes aplicar-se-ão no enquadramento regulamentar para os serviços básicos de telecomunicações: </w:t>
      </w:r>
    </w:p>
    <w:p w:rsidR="00C92A65" w:rsidRPr="005F7FB4" w:rsidRDefault="00C92A65" w:rsidP="00C92A65">
      <w:pPr>
        <w:ind w:left="2835" w:hanging="2835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>Utilizadores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7FB4">
        <w:rPr>
          <w:rFonts w:ascii="Arial" w:hAnsi="Arial" w:cs="Arial"/>
          <w:color w:val="000000"/>
          <w:sz w:val="24"/>
          <w:szCs w:val="24"/>
        </w:rPr>
        <w:tab/>
      </w:r>
      <w:r w:rsidRPr="005F7FB4">
        <w:rPr>
          <w:rFonts w:ascii="Arial" w:hAnsi="Arial" w:cs="Arial"/>
          <w:color w:val="000000"/>
          <w:sz w:val="24"/>
          <w:szCs w:val="24"/>
        </w:rPr>
        <w:tab/>
        <w:t>significa consumidores de serviços e fornecedores de serviços.</w:t>
      </w:r>
    </w:p>
    <w:p w:rsidR="00C92A65" w:rsidRPr="005F7FB4" w:rsidRDefault="00C92A65" w:rsidP="00C92A65">
      <w:pPr>
        <w:ind w:left="2835" w:hanging="2835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>Instalações essenciais</w:t>
      </w:r>
      <w:r w:rsidRPr="005F7FB4">
        <w:rPr>
          <w:rFonts w:ascii="Arial" w:hAnsi="Arial" w:cs="Arial"/>
          <w:b/>
          <w:color w:val="000000"/>
          <w:sz w:val="24"/>
          <w:szCs w:val="24"/>
        </w:rPr>
        <w:tab/>
      </w:r>
      <w:r w:rsidRPr="005F7FB4">
        <w:rPr>
          <w:rFonts w:ascii="Arial" w:hAnsi="Arial" w:cs="Arial"/>
          <w:color w:val="000000"/>
          <w:sz w:val="24"/>
          <w:szCs w:val="24"/>
        </w:rPr>
        <w:t>significa instalações de uma rede de transporte de telecomunicações públicas ou serviços que</w:t>
      </w:r>
    </w:p>
    <w:p w:rsidR="00C92A65" w:rsidRPr="005F7FB4" w:rsidRDefault="00C92A65" w:rsidP="00C92A65">
      <w:pPr>
        <w:ind w:left="3261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(a)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são exclusivamente providenciados por um único ou por um número limitado de fornecedores; e </w:t>
      </w:r>
    </w:p>
    <w:p w:rsidR="00C92A65" w:rsidRPr="005F7FB4" w:rsidRDefault="00C92A65" w:rsidP="00C92A65">
      <w:pPr>
        <w:ind w:left="3261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(b)</w:t>
      </w:r>
      <w:r w:rsidRPr="005F7FB4">
        <w:rPr>
          <w:rFonts w:ascii="Arial" w:hAnsi="Arial" w:cs="Arial"/>
          <w:color w:val="000000"/>
          <w:sz w:val="24"/>
          <w:szCs w:val="24"/>
        </w:rPr>
        <w:tab/>
        <w:t>não podem ser, de modo viável, substituídos económica ou tecnicamente para providenciarem um serviço.</w:t>
      </w:r>
    </w:p>
    <w:p w:rsidR="00C92A65" w:rsidRPr="005F7FB4" w:rsidRDefault="00C92A65" w:rsidP="00C92A65">
      <w:pPr>
        <w:ind w:left="2835" w:hanging="2835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>Fornecedor principal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é um fornecedor que tem a capacidade para afectar materialmente os termos de participação (tendo em conta preços e oferta) no mercado relevante de serviços básicos de telecomunicações, em resultado de: </w:t>
      </w:r>
    </w:p>
    <w:p w:rsidR="00C92A65" w:rsidRPr="005F7FB4" w:rsidRDefault="00C92A65" w:rsidP="005F7FB4">
      <w:pPr>
        <w:ind w:left="2880" w:hanging="45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(a)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controlo sobre instalações essenciais; ou </w:t>
      </w:r>
    </w:p>
    <w:p w:rsidR="00C92A65" w:rsidRPr="005F7FB4" w:rsidRDefault="00C92A65" w:rsidP="005F7FB4">
      <w:pPr>
        <w:ind w:left="2880" w:hanging="45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(b)</w:t>
      </w:r>
      <w:r w:rsidRPr="005F7FB4">
        <w:rPr>
          <w:rFonts w:ascii="Arial" w:hAnsi="Arial" w:cs="Arial"/>
          <w:color w:val="000000"/>
          <w:sz w:val="24"/>
          <w:szCs w:val="24"/>
        </w:rPr>
        <w:tab/>
        <w:t>uso da sua posição de domínio no mercado.</w:t>
      </w:r>
    </w:p>
    <w:p w:rsidR="005F7FB4" w:rsidRDefault="005F7FB4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2A65" w:rsidRPr="005F7FB4" w:rsidRDefault="00C92A65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ARTIGO 2º </w:t>
      </w:r>
    </w:p>
    <w:p w:rsidR="00C92A65" w:rsidRPr="005F7FB4" w:rsidRDefault="00C92A65" w:rsidP="00C92A65">
      <w:pPr>
        <w:keepNext/>
        <w:keepLines/>
        <w:ind w:hanging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SALVAGUARDAS CONCORRENCIAIS </w:t>
      </w:r>
    </w:p>
    <w:p w:rsidR="00C92A65" w:rsidRPr="005F7FB4" w:rsidRDefault="00C92A65" w:rsidP="00511AE0">
      <w:pPr>
        <w:keepNext/>
        <w:keepLines/>
        <w:ind w:hanging="54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 xml:space="preserve">1. </w:t>
      </w:r>
      <w:r w:rsidR="00511AE0">
        <w:rPr>
          <w:rFonts w:ascii="Arial" w:hAnsi="Arial" w:cs="Arial"/>
          <w:color w:val="000000"/>
          <w:sz w:val="24"/>
          <w:szCs w:val="24"/>
        </w:rPr>
        <w:t xml:space="preserve">    Os Estados Partes manterão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 medidas apropriadas a fim de evitar que os fornecedores que, </w:t>
      </w:r>
      <w:r w:rsidR="00511AE0">
        <w:rPr>
          <w:rFonts w:ascii="Arial" w:hAnsi="Arial" w:cs="Arial"/>
          <w:color w:val="000000"/>
          <w:sz w:val="24"/>
          <w:szCs w:val="24"/>
        </w:rPr>
        <w:t>individualmente ou em conjunto,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 os fornecedores principais se envolvam em práticas anti-concorrenciais ou continuem com as mesmas.</w:t>
      </w:r>
    </w:p>
    <w:p w:rsidR="00C92A65" w:rsidRPr="005F7FB4" w:rsidRDefault="00511AE0" w:rsidP="00511AE0">
      <w:pPr>
        <w:keepNext/>
        <w:keepLines/>
        <w:ind w:hanging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    </w:t>
      </w:r>
      <w:r w:rsidR="00C92A65" w:rsidRPr="005F7FB4">
        <w:rPr>
          <w:rFonts w:ascii="Arial" w:hAnsi="Arial" w:cs="Arial"/>
          <w:color w:val="000000"/>
          <w:sz w:val="24"/>
          <w:szCs w:val="24"/>
        </w:rPr>
        <w:t xml:space="preserve">As práticas anti-concorrenciais referidas acima incluirão, em particular: </w:t>
      </w:r>
    </w:p>
    <w:p w:rsidR="00C92A65" w:rsidRPr="005F7FB4" w:rsidRDefault="00C92A65" w:rsidP="00C92A65">
      <w:pPr>
        <w:ind w:left="900" w:hanging="540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(a)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envolvimento em subvenções cruzadas anti-concorrenciais; </w:t>
      </w:r>
    </w:p>
    <w:p w:rsidR="00C92A65" w:rsidRPr="005F7FB4" w:rsidRDefault="00511AE0" w:rsidP="00C92A65">
      <w:pPr>
        <w:ind w:left="900" w:hanging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z w:val="24"/>
          <w:szCs w:val="24"/>
        </w:rPr>
        <w:tab/>
        <w:t>usar</w:t>
      </w:r>
      <w:r w:rsidR="00C92A65" w:rsidRPr="005F7FB4">
        <w:rPr>
          <w:rFonts w:ascii="Arial" w:hAnsi="Arial" w:cs="Arial"/>
          <w:color w:val="000000"/>
          <w:sz w:val="24"/>
          <w:szCs w:val="24"/>
        </w:rPr>
        <w:t xml:space="preserve"> de informações obtidas de concorrentes com resultados anti-concorrenciais; e </w:t>
      </w:r>
    </w:p>
    <w:p w:rsidR="00C92A65" w:rsidRPr="005F7FB4" w:rsidRDefault="00C92A65" w:rsidP="00C92A65">
      <w:pPr>
        <w:ind w:left="900" w:hanging="54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lastRenderedPageBreak/>
        <w:t>(c)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não disponibilizar oportunamente a outros fornecedores de serviços as informações técnicas sobre instalações essenciais ou informações relevantes sob o ponto de vista comercial que são necessárias para providenciar serviços. </w:t>
      </w:r>
    </w:p>
    <w:p w:rsidR="00C92A65" w:rsidRPr="005F7FB4" w:rsidRDefault="00C92A65" w:rsidP="00C92A65">
      <w:pPr>
        <w:ind w:left="900" w:hanging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ARTIGO 3º </w:t>
      </w:r>
    </w:p>
    <w:p w:rsidR="00C92A65" w:rsidRPr="005F7FB4" w:rsidRDefault="00C92A65" w:rsidP="00C92A65">
      <w:pPr>
        <w:ind w:left="900" w:hanging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>INTERCONEXÃO</w:t>
      </w:r>
    </w:p>
    <w:p w:rsidR="00C92A65" w:rsidRPr="005F7FB4" w:rsidRDefault="00C92A65" w:rsidP="00005466">
      <w:pPr>
        <w:ind w:left="450" w:hanging="54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1.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A presente secção aplica-se à conexão com fornecedores que providenciam redes ou serviços de transporte de telecomunicações públicas a fim de permitir que os utilizadores de um fornecedor comuniquem com os utilizadores de outro fornecedor e para que tenham acesso a serviços providenciados por outro fornecedor, quando compromissos específicos são assumidos. </w:t>
      </w:r>
    </w:p>
    <w:p w:rsidR="00C92A65" w:rsidRPr="005F7FB4" w:rsidRDefault="00C92A65" w:rsidP="00005466">
      <w:pPr>
        <w:keepNext/>
        <w:keepLines/>
        <w:ind w:left="540" w:hanging="540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2.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A interconexão com um fornecedor principal será garantida em qualquer ponto da rede que seja tecnicamente viável. A interconexão em questão é providenciada </w:t>
      </w:r>
    </w:p>
    <w:p w:rsidR="00C92A65" w:rsidRPr="005F7FB4" w:rsidRDefault="00C92A65" w:rsidP="00005466">
      <w:pPr>
        <w:ind w:left="126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(a)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segundo os termos, as condições e as tarifas não discriminatórios (incluindo normas e especificações técnicas) e de uma qualidade não menos favorável à que é providenciada para os próprios serviços congéneres ou para serviços congéneres de fornecedores de serviços não afiliados ou para os seus subsidiários ou outros afiliados; </w:t>
      </w:r>
    </w:p>
    <w:p w:rsidR="00C92A65" w:rsidRPr="005F7FB4" w:rsidRDefault="00C92A65" w:rsidP="00005466">
      <w:pPr>
        <w:ind w:left="126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(b)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de um modo atempado, segundo termos, condições (incluindo normas técnicas e especificações) e tarifas orientadas para preços que sejam transparentes, razoáveis, tendo em conta a viabilidade económica e suficientemente desagregados de modo que o fornecedor não tenha necessidade de pagar pelas componentes ou instalações de rede que não necessita para o serviço a ser providenciado; e </w:t>
      </w:r>
    </w:p>
    <w:p w:rsidR="00C92A65" w:rsidRDefault="00C92A65" w:rsidP="00005466">
      <w:pPr>
        <w:ind w:left="126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(c)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uma vez solicitada, em pontos adicionais aos pontos terminais da rede oferecidos à maioria dos utilizadores, sujeita a tarifas que reflectem o custo de construção das instalações adicionais necessárias. </w:t>
      </w:r>
    </w:p>
    <w:p w:rsidR="0018791A" w:rsidRPr="0018791A" w:rsidRDefault="00005466" w:rsidP="00005466">
      <w:pPr>
        <w:keepNext/>
        <w:keepLines/>
        <w:ind w:left="540" w:hanging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18791A">
        <w:rPr>
          <w:rFonts w:ascii="Arial" w:hAnsi="Arial" w:cs="Arial"/>
          <w:sz w:val="24"/>
          <w:szCs w:val="24"/>
        </w:rPr>
        <w:tab/>
      </w:r>
      <w:r w:rsidR="0018791A" w:rsidRPr="00005466">
        <w:rPr>
          <w:rFonts w:ascii="Arial" w:hAnsi="Arial" w:cs="Arial"/>
          <w:sz w:val="24"/>
          <w:szCs w:val="24"/>
        </w:rPr>
        <w:t>Relativamente às taxas de interligação referidas no parágrafo 2 (a), um Estado Parte pode determinar taxas diferentes relativas aos diferentes serviços prestados em diferentes áreas em diferentes circunstâncias numa base não-discriminatória.</w:t>
      </w:r>
    </w:p>
    <w:p w:rsidR="00C92A65" w:rsidRPr="005F7FB4" w:rsidRDefault="00C92A65" w:rsidP="00005466">
      <w:pPr>
        <w:keepNext/>
        <w:keepLines/>
        <w:ind w:left="540" w:hanging="540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3.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 Os procedimentos aplicáveis para interconexões a um fornecedor principal serão disponibilizados ao público.</w:t>
      </w:r>
    </w:p>
    <w:p w:rsidR="00C92A65" w:rsidRPr="005F7FB4" w:rsidRDefault="00C92A65" w:rsidP="00005466">
      <w:pPr>
        <w:keepNext/>
        <w:keepLines/>
        <w:ind w:left="540" w:hanging="540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4.</w:t>
      </w:r>
      <w:r w:rsidRPr="005F7FB4">
        <w:rPr>
          <w:rFonts w:ascii="Arial" w:hAnsi="Arial" w:cs="Arial"/>
          <w:color w:val="000000"/>
          <w:sz w:val="24"/>
          <w:szCs w:val="24"/>
        </w:rPr>
        <w:tab/>
      </w:r>
      <w:r w:rsidR="0018791A" w:rsidRPr="0059096D">
        <w:rPr>
          <w:rFonts w:ascii="Arial" w:hAnsi="Arial" w:cs="Arial"/>
          <w:color w:val="000000"/>
          <w:sz w:val="24"/>
          <w:szCs w:val="24"/>
        </w:rPr>
        <w:t>Os Estados Partes garantem que</w:t>
      </w:r>
      <w:r w:rsidR="0018791A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18791A">
        <w:rPr>
          <w:rFonts w:ascii="Arial" w:hAnsi="Arial" w:cs="Arial"/>
          <w:color w:val="000000"/>
          <w:sz w:val="24"/>
          <w:szCs w:val="24"/>
        </w:rPr>
        <w:t xml:space="preserve">um </w:t>
      </w:r>
      <w:r w:rsidRPr="005F7FB4">
        <w:rPr>
          <w:rFonts w:ascii="Arial" w:hAnsi="Arial" w:cs="Arial"/>
          <w:color w:val="000000"/>
          <w:sz w:val="24"/>
          <w:szCs w:val="24"/>
        </w:rPr>
        <w:t>forn</w:t>
      </w:r>
      <w:r w:rsidR="0018791A">
        <w:rPr>
          <w:rFonts w:ascii="Arial" w:hAnsi="Arial" w:cs="Arial"/>
          <w:color w:val="000000"/>
          <w:sz w:val="24"/>
          <w:szCs w:val="24"/>
        </w:rPr>
        <w:t>ecedor principal divulgará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 ao público os seus acordos de interconexão ou uma oferta de referência de interconexão. </w:t>
      </w:r>
    </w:p>
    <w:p w:rsidR="00C92A65" w:rsidRPr="005F7FB4" w:rsidRDefault="0059096D" w:rsidP="00005466">
      <w:pPr>
        <w:keepNext/>
        <w:keepLines/>
        <w:ind w:left="540" w:hanging="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    Em caso de litígio, um </w:t>
      </w:r>
      <w:r w:rsidR="00C92A65" w:rsidRPr="005F7FB4">
        <w:rPr>
          <w:rFonts w:ascii="Arial" w:hAnsi="Arial" w:cs="Arial"/>
          <w:color w:val="000000"/>
          <w:sz w:val="24"/>
          <w:szCs w:val="24"/>
        </w:rPr>
        <w:t xml:space="preserve">fornecedor de serviços que solicite uma interconexão junto de um fornecedor principal poderá instituir recurso, ou </w:t>
      </w:r>
    </w:p>
    <w:p w:rsidR="00C92A65" w:rsidRPr="005F7FB4" w:rsidRDefault="00C92A65" w:rsidP="00005466">
      <w:pPr>
        <w:ind w:left="1530" w:hanging="720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(a)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em qualquer altura, ou </w:t>
      </w:r>
    </w:p>
    <w:p w:rsidR="00C92A65" w:rsidRPr="005F7FB4" w:rsidRDefault="00C92A65" w:rsidP="00005466">
      <w:pPr>
        <w:ind w:left="153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(b)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após um período razoável, que tenha sido divulgado publicamente, a um organismo interno independente, que pode ser uma entidade reguladora, referida no número 5 abaixo, para resolver litígios relativamente a termos, condições e tarifas apropriados para interconexão dentro de um período razoável, desde que estes não tenham sido previamente estabelecidos. </w:t>
      </w:r>
    </w:p>
    <w:p w:rsidR="00C92A65" w:rsidRPr="005F7FB4" w:rsidRDefault="00C92A65" w:rsidP="00C92A65">
      <w:pPr>
        <w:ind w:left="900" w:hanging="54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2A65" w:rsidRPr="005F7FB4" w:rsidRDefault="00C92A65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>ARTIGO 4º</w:t>
      </w:r>
    </w:p>
    <w:p w:rsidR="00C92A65" w:rsidRPr="005F7FB4" w:rsidRDefault="00C92A65" w:rsidP="00C92A65">
      <w:pPr>
        <w:ind w:left="900" w:hanging="5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SERVIÇOS UNIVERSAIS </w:t>
      </w:r>
    </w:p>
    <w:p w:rsidR="00C92A65" w:rsidRPr="0059096D" w:rsidRDefault="00C92A65" w:rsidP="00005466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9096D">
        <w:rPr>
          <w:rFonts w:ascii="Arial" w:hAnsi="Arial" w:cs="Arial"/>
          <w:color w:val="000000"/>
          <w:sz w:val="24"/>
          <w:szCs w:val="24"/>
        </w:rPr>
        <w:t xml:space="preserve">Qualquer </w:t>
      </w:r>
      <w:r w:rsidR="0059096D">
        <w:rPr>
          <w:rFonts w:ascii="Arial" w:hAnsi="Arial" w:cs="Arial"/>
          <w:color w:val="000000"/>
          <w:sz w:val="24"/>
          <w:szCs w:val="24"/>
        </w:rPr>
        <w:t>Estado Parte</w:t>
      </w:r>
      <w:r w:rsidRPr="0059096D">
        <w:rPr>
          <w:rFonts w:ascii="Arial" w:hAnsi="Arial" w:cs="Arial"/>
          <w:color w:val="000000"/>
          <w:sz w:val="24"/>
          <w:szCs w:val="24"/>
        </w:rPr>
        <w:t xml:space="preserve"> tem o direito de definir a modalidade da obrigação de serviço universal que deseja manter. Uma tal obrigação não será considerada como anti-concorrencial em si, desde que seja administrada de modo transparente, não-discriminatório e concorrencialmente neutro e que não traga mais encargos do que os necessários para o tipo de serviço universal definido pelo Membro. </w:t>
      </w:r>
    </w:p>
    <w:p w:rsidR="00C92A65" w:rsidRPr="005F7FB4" w:rsidRDefault="00C92A65" w:rsidP="00C92A65">
      <w:pPr>
        <w:keepNext/>
        <w:keepLines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ARTIGO 5º </w:t>
      </w:r>
    </w:p>
    <w:p w:rsidR="00C92A65" w:rsidRPr="005F7FB4" w:rsidRDefault="00C92A65" w:rsidP="00C92A65">
      <w:pPr>
        <w:keepNext/>
        <w:keepLines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>CRITÉRIOS DE CONCESSÃO DE LICENÇAS</w:t>
      </w:r>
    </w:p>
    <w:p w:rsidR="00C92A65" w:rsidRPr="005F7FB4" w:rsidRDefault="00C92A65" w:rsidP="0059096D">
      <w:pPr>
        <w:keepNext/>
        <w:keepLines/>
        <w:ind w:hanging="54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1.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Quando é solicitada uma licença, as condições que se seguem são divulgadas publicamente: </w:t>
      </w:r>
    </w:p>
    <w:p w:rsidR="00C92A65" w:rsidRPr="005F7FB4" w:rsidRDefault="00C92A65" w:rsidP="00C92A65">
      <w:pPr>
        <w:ind w:left="144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(a)</w:t>
      </w:r>
      <w:r w:rsidRPr="005F7FB4">
        <w:rPr>
          <w:rFonts w:ascii="Arial" w:hAnsi="Arial" w:cs="Arial"/>
          <w:color w:val="000000"/>
          <w:sz w:val="24"/>
          <w:szCs w:val="24"/>
        </w:rPr>
        <w:tab/>
        <w:t>todos os critérios de concessão de licenças e</w:t>
      </w:r>
      <w:r w:rsidR="0059096D">
        <w:rPr>
          <w:rFonts w:ascii="Arial" w:hAnsi="Arial" w:cs="Arial"/>
          <w:color w:val="000000"/>
          <w:sz w:val="24"/>
          <w:szCs w:val="24"/>
        </w:rPr>
        <w:t>, quando aplicável,</w:t>
      </w:r>
      <w:r w:rsidRPr="005F7FB4">
        <w:rPr>
          <w:rFonts w:ascii="Arial" w:hAnsi="Arial" w:cs="Arial"/>
          <w:color w:val="000000"/>
          <w:sz w:val="24"/>
          <w:szCs w:val="24"/>
        </w:rPr>
        <w:t xml:space="preserve"> o período de tempo necessário normalmente para se alcançar uma decisão relativa ao pedido de uma licença, e </w:t>
      </w:r>
    </w:p>
    <w:p w:rsidR="0059096D" w:rsidRDefault="00C92A65" w:rsidP="0059096D">
      <w:pPr>
        <w:ind w:left="144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(b)</w:t>
      </w:r>
      <w:r w:rsidRPr="005F7FB4">
        <w:rPr>
          <w:rFonts w:ascii="Arial" w:hAnsi="Arial" w:cs="Arial"/>
          <w:color w:val="000000"/>
          <w:sz w:val="24"/>
          <w:szCs w:val="24"/>
        </w:rPr>
        <w:tab/>
        <w:t>os termos e as condições de licenças individuais.</w:t>
      </w:r>
    </w:p>
    <w:p w:rsidR="0059096D" w:rsidRPr="005F7FB4" w:rsidRDefault="0059096D" w:rsidP="00005466">
      <w:pPr>
        <w:ind w:hanging="4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2.     </w:t>
      </w:r>
      <w:r w:rsidR="00C92A65" w:rsidRPr="005F7FB4">
        <w:rPr>
          <w:rFonts w:ascii="Arial" w:hAnsi="Arial" w:cs="Arial"/>
          <w:color w:val="000000"/>
          <w:sz w:val="24"/>
          <w:szCs w:val="24"/>
        </w:rPr>
        <w:t xml:space="preserve">As razões para a recusa de uma licença serão divulgadas ao requerente se assim forem solicitadas. </w:t>
      </w:r>
    </w:p>
    <w:p w:rsidR="00C92A65" w:rsidRPr="005F7FB4" w:rsidRDefault="00C92A65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ARTIGO 6º </w:t>
      </w:r>
    </w:p>
    <w:p w:rsidR="00C92A65" w:rsidRPr="005F7FB4" w:rsidRDefault="00C92A65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REGULADORES INDEPENDENTES </w:t>
      </w:r>
    </w:p>
    <w:p w:rsidR="00C92A65" w:rsidRPr="005F7FB4" w:rsidRDefault="00C92A65" w:rsidP="0059096D">
      <w:pPr>
        <w:keepNext/>
        <w:keepLines/>
        <w:ind w:hanging="54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1.</w:t>
      </w:r>
      <w:r w:rsidRPr="005F7FB4">
        <w:rPr>
          <w:rFonts w:ascii="Arial" w:hAnsi="Arial" w:cs="Arial"/>
          <w:color w:val="000000"/>
          <w:sz w:val="24"/>
          <w:szCs w:val="24"/>
        </w:rPr>
        <w:tab/>
        <w:t>A entidade reguladora é juridicamente independente de qualquer fornecedor de serviç</w:t>
      </w:r>
      <w:r w:rsidR="0059096D">
        <w:rPr>
          <w:rFonts w:ascii="Arial" w:hAnsi="Arial" w:cs="Arial"/>
          <w:color w:val="000000"/>
          <w:sz w:val="24"/>
          <w:szCs w:val="24"/>
        </w:rPr>
        <w:t xml:space="preserve">os básicos de telecomunicações e não responderá perante o mesmo. </w:t>
      </w:r>
      <w:r w:rsidRPr="005F7FB4">
        <w:rPr>
          <w:rFonts w:ascii="Arial" w:hAnsi="Arial" w:cs="Arial"/>
          <w:color w:val="000000"/>
          <w:sz w:val="24"/>
          <w:szCs w:val="24"/>
        </w:rPr>
        <w:t>As decisões e os procedimentos utilizados pelos reguladores serão imparciais face a todos os participantes do mercado.</w:t>
      </w:r>
    </w:p>
    <w:p w:rsidR="00C92A65" w:rsidRPr="005F7FB4" w:rsidRDefault="00C92A65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ARTIGO 7º </w:t>
      </w:r>
    </w:p>
    <w:p w:rsidR="00C92A65" w:rsidRPr="005F7FB4" w:rsidRDefault="00C92A65" w:rsidP="00C92A6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7FB4">
        <w:rPr>
          <w:rFonts w:ascii="Arial" w:hAnsi="Arial" w:cs="Arial"/>
          <w:b/>
          <w:color w:val="000000"/>
          <w:sz w:val="24"/>
          <w:szCs w:val="24"/>
        </w:rPr>
        <w:t xml:space="preserve">AFECTAÇÃO E USO DE RECURSOS ESCASSOS </w:t>
      </w:r>
    </w:p>
    <w:p w:rsidR="00C92A65" w:rsidRPr="005F7FB4" w:rsidRDefault="00C92A65" w:rsidP="0059096D">
      <w:pPr>
        <w:keepNext/>
        <w:keepLines/>
        <w:ind w:hanging="540"/>
        <w:jc w:val="both"/>
        <w:rPr>
          <w:rFonts w:ascii="Arial" w:hAnsi="Arial" w:cs="Arial"/>
          <w:color w:val="000000"/>
          <w:sz w:val="24"/>
          <w:szCs w:val="24"/>
        </w:rPr>
      </w:pPr>
      <w:r w:rsidRPr="005F7FB4">
        <w:rPr>
          <w:rFonts w:ascii="Arial" w:hAnsi="Arial" w:cs="Arial"/>
          <w:color w:val="000000"/>
          <w:sz w:val="24"/>
          <w:szCs w:val="24"/>
        </w:rPr>
        <w:t>1.</w:t>
      </w:r>
      <w:r w:rsidRPr="005F7FB4">
        <w:rPr>
          <w:rFonts w:ascii="Arial" w:hAnsi="Arial" w:cs="Arial"/>
          <w:color w:val="000000"/>
          <w:sz w:val="24"/>
          <w:szCs w:val="24"/>
        </w:rPr>
        <w:tab/>
        <w:t xml:space="preserve">Quaisquer procedimentos para a afectação e uso de recursos escassos, incluindo as frequências, a numeração e os direitos de passagem, serão executados de modo objectivo, oportuno, transparente e não-discriminatório. A situação actual das bandas de frequências afectadas ficará disponível mas não é necessária a identificação de frequências já afectadas para uso específico do governo </w:t>
      </w:r>
    </w:p>
    <w:p w:rsidR="00C92A65" w:rsidRPr="005F7FB4" w:rsidRDefault="00C92A65" w:rsidP="00C92A65">
      <w:pPr>
        <w:rPr>
          <w:rFonts w:ascii="Arial" w:hAnsi="Arial" w:cs="Arial"/>
          <w:sz w:val="24"/>
          <w:szCs w:val="24"/>
        </w:rPr>
      </w:pPr>
    </w:p>
    <w:p w:rsidR="00AF34C8" w:rsidRPr="005F7FB4" w:rsidRDefault="00AF34C8" w:rsidP="00C92A65">
      <w:pPr>
        <w:rPr>
          <w:rFonts w:ascii="Arial" w:hAnsi="Arial" w:cs="Arial"/>
          <w:sz w:val="24"/>
          <w:szCs w:val="24"/>
        </w:rPr>
      </w:pPr>
    </w:p>
    <w:sectPr w:rsidR="00AF34C8" w:rsidRPr="005F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6F" w:rsidRDefault="00F76D6F" w:rsidP="0059096D">
      <w:pPr>
        <w:spacing w:after="0" w:line="240" w:lineRule="auto"/>
      </w:pPr>
      <w:r>
        <w:separator/>
      </w:r>
    </w:p>
  </w:endnote>
  <w:endnote w:type="continuationSeparator" w:id="0">
    <w:p w:rsidR="00F76D6F" w:rsidRDefault="00F76D6F" w:rsidP="0059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6F" w:rsidRDefault="00F76D6F" w:rsidP="0059096D">
      <w:pPr>
        <w:spacing w:after="0" w:line="240" w:lineRule="auto"/>
      </w:pPr>
      <w:r>
        <w:separator/>
      </w:r>
    </w:p>
  </w:footnote>
  <w:footnote w:type="continuationSeparator" w:id="0">
    <w:p w:rsidR="00F76D6F" w:rsidRDefault="00F76D6F" w:rsidP="0059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FC"/>
    <w:multiLevelType w:val="hybridMultilevel"/>
    <w:tmpl w:val="3BCC6444"/>
    <w:lvl w:ilvl="0" w:tplc="221C0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65"/>
    <w:rsid w:val="00005466"/>
    <w:rsid w:val="0002768D"/>
    <w:rsid w:val="0018791A"/>
    <w:rsid w:val="00511AE0"/>
    <w:rsid w:val="0059096D"/>
    <w:rsid w:val="005F4B61"/>
    <w:rsid w:val="005F7FB4"/>
    <w:rsid w:val="00AF34C8"/>
    <w:rsid w:val="00C56D4A"/>
    <w:rsid w:val="00C92A65"/>
    <w:rsid w:val="00EA221A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AF2A"/>
  <w15:chartTrackingRefBased/>
  <w15:docId w15:val="{B1E3A561-18AA-4B17-8EB9-5E2858E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A65"/>
    <w:pPr>
      <w:spacing w:after="200" w:line="276" w:lineRule="auto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Bulet,AB List 1,Bullet Points,ProcessA,Liste couleur - Accent 1,Liste couleur - Accent 14,COMESA Text 2,Standard 12 pt,Paragraphe de liste rapport atelier Mada,Heading II,Number Bullets,List Bullet Mary,normal"/>
    <w:basedOn w:val="Normal"/>
    <w:link w:val="ListParagraphChar"/>
    <w:uiPriority w:val="34"/>
    <w:qFormat/>
    <w:rsid w:val="00C92A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09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96D"/>
    <w:rPr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9096D"/>
    <w:rPr>
      <w:vertAlign w:val="superscript"/>
    </w:rPr>
  </w:style>
  <w:style w:type="character" w:customStyle="1" w:styleId="ListParagraphChar">
    <w:name w:val="List Paragraph Char"/>
    <w:aliases w:val="List Bulet Char,AB List 1 Char,Bullet Points Char,ProcessA Char,Liste couleur - Accent 1 Char,Liste couleur - Accent 14 Char,COMESA Text 2 Char,Standard 12 pt Char,Paragraphe de liste rapport atelier Mada Char,Heading II Char"/>
    <w:link w:val="ListParagraph"/>
    <w:uiPriority w:val="34"/>
    <w:locked/>
    <w:rsid w:val="005F4B61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G:\TNF-COSO-MTF-CMT_Oct-Nov%202012\Local%20Settings\Temporary%20Internet%20Files\OLK6\Talking%20Notes\WINNT\Profiles\faithk\Temporary%20Internet%20Files\OLK4A\sadclogo_mediu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E781-91B3-4B91-891B-7837D387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Viola Sawere</cp:lastModifiedBy>
  <cp:revision>3</cp:revision>
  <dcterms:created xsi:type="dcterms:W3CDTF">2018-03-20T13:51:00Z</dcterms:created>
  <dcterms:modified xsi:type="dcterms:W3CDTF">2018-03-21T08:19:00Z</dcterms:modified>
</cp:coreProperties>
</file>