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7D19E0" w:rsidRPr="008702C8" w14:paraId="6248958D" w14:textId="77777777" w:rsidTr="00A0386C">
        <w:trPr>
          <w:tblHeader/>
        </w:trPr>
        <w:tc>
          <w:tcPr>
            <w:tcW w:w="14863" w:type="dxa"/>
            <w:gridSpan w:val="4"/>
          </w:tcPr>
          <w:p w14:paraId="47D21A52" w14:textId="0CEFE4AB" w:rsidR="007D19E0" w:rsidRPr="007D19E0" w:rsidRDefault="007D19E0" w:rsidP="007D19E0">
            <w:pPr>
              <w:spacing w:before="60" w:after="60"/>
              <w:rPr>
                <w:rFonts w:ascii="Ebrima" w:hAnsi="Ebrima" w:cs="Arial"/>
                <w:b/>
                <w:sz w:val="20"/>
                <w:lang w:val="fr-FR"/>
              </w:rPr>
            </w:pPr>
            <w:r w:rsidRPr="007D19E0">
              <w:rPr>
                <w:rFonts w:ascii="Ebrima" w:hAnsi="Ebrima"/>
                <w:b/>
                <w:sz w:val="20"/>
                <w:lang w:val="fr-FR"/>
              </w:rPr>
              <w:t xml:space="preserve">Mode de </w:t>
            </w:r>
            <w:proofErr w:type="gramStart"/>
            <w:r w:rsidRPr="007D19E0">
              <w:rPr>
                <w:rFonts w:ascii="Ebrima" w:hAnsi="Ebrima"/>
                <w:b/>
                <w:sz w:val="20"/>
                <w:lang w:val="fr-FR"/>
              </w:rPr>
              <w:t>fourniture</w:t>
            </w:r>
            <w:r w:rsidRPr="007D19E0">
              <w:rPr>
                <w:rFonts w:ascii="Ebrima" w:hAnsi="Ebrima" w:cs="Arial"/>
                <w:b/>
                <w:sz w:val="20"/>
                <w:lang w:val="fr-FR"/>
              </w:rPr>
              <w:t>:</w:t>
            </w:r>
            <w:proofErr w:type="gramEnd"/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1) </w:t>
            </w:r>
            <w:r w:rsidRPr="007D19E0">
              <w:rPr>
                <w:rFonts w:ascii="Ebrima" w:hAnsi="Ebrima"/>
                <w:b/>
                <w:sz w:val="20"/>
                <w:lang w:val="fr-FR"/>
              </w:rPr>
              <w:t>Fourniture transfrontières</w:t>
            </w:r>
            <w:r w:rsidRPr="007D19E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 2) </w:t>
            </w:r>
            <w:r w:rsidRPr="007D19E0">
              <w:rPr>
                <w:rFonts w:ascii="Ebrima" w:hAnsi="Ebrima"/>
                <w:b/>
                <w:sz w:val="20"/>
                <w:lang w:val="fr-FR"/>
              </w:rPr>
              <w:t>Consommation à l’étranger</w:t>
            </w:r>
            <w:r w:rsidRPr="007D19E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   3) </w:t>
            </w:r>
            <w:r w:rsidRPr="007D19E0">
              <w:rPr>
                <w:rFonts w:ascii="Ebrima" w:hAnsi="Ebrima"/>
                <w:b/>
                <w:sz w:val="20"/>
                <w:lang w:val="fr-FR"/>
              </w:rPr>
              <w:t xml:space="preserve">Présence commerciale   </w:t>
            </w:r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4) </w:t>
            </w:r>
            <w:r w:rsidRPr="007D19E0">
              <w:rPr>
                <w:rFonts w:ascii="Ebrima" w:hAnsi="Ebrima"/>
                <w:b/>
                <w:sz w:val="20"/>
                <w:lang w:val="fr-FR"/>
              </w:rPr>
              <w:t>Présence de personnes physiques</w:t>
            </w:r>
          </w:p>
        </w:tc>
      </w:tr>
      <w:tr w:rsidR="007D19E0" w:rsidRPr="008702C8" w14:paraId="3A531EB5" w14:textId="77777777" w:rsidTr="00B3043D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07AE2EA8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sz w:val="20"/>
                <w:lang w:val="fr-FR"/>
              </w:rPr>
              <w:t>Secteur ou sous-secteur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6E2DED08" w14:textId="77777777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Limitations concernant </w:t>
            </w:r>
          </w:p>
          <w:p w14:paraId="71227B64" w14:textId="72EB3481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proofErr w:type="gramStart"/>
            <w:r w:rsidRPr="007D19E0">
              <w:rPr>
                <w:rFonts w:ascii="Ebrima" w:hAnsi="Ebrima" w:cs="Arial"/>
                <w:b/>
                <w:sz w:val="20"/>
                <w:lang w:val="fr-FR"/>
              </w:rPr>
              <w:t>l’accès</w:t>
            </w:r>
            <w:proofErr w:type="gramEnd"/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 aux marchés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6C03AF5F" w14:textId="77777777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sz w:val="20"/>
                <w:lang w:val="fr-FR"/>
              </w:rPr>
              <w:t>Limitations concernant</w:t>
            </w:r>
          </w:p>
          <w:p w14:paraId="52E49F8B" w14:textId="646BC825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proofErr w:type="gramStart"/>
            <w:r w:rsidRPr="007D19E0">
              <w:rPr>
                <w:rFonts w:ascii="Ebrima" w:hAnsi="Ebrima" w:cs="Arial"/>
                <w:b/>
                <w:sz w:val="20"/>
                <w:lang w:val="fr-FR"/>
              </w:rPr>
              <w:t>le</w:t>
            </w:r>
            <w:proofErr w:type="gramEnd"/>
            <w:r w:rsidRPr="007D19E0">
              <w:rPr>
                <w:rFonts w:ascii="Ebrima" w:hAnsi="Ebrima" w:cs="Arial"/>
                <w:b/>
                <w:sz w:val="20"/>
                <w:lang w:val="fr-FR"/>
              </w:rPr>
              <w:t xml:space="preserve"> traitement national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519BB757" w14:textId="77777777" w:rsidR="007D19E0" w:rsidRPr="00C04139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 xml:space="preserve">Notes du secrétariat pour </w:t>
            </w:r>
            <w:r w:rsidRPr="007D19E0">
              <w:rPr>
                <w:rFonts w:ascii="Ebrima" w:hAnsi="Ebrima" w:cs="Arial"/>
                <w:b/>
                <w:sz w:val="20"/>
                <w:u w:val="single"/>
                <w:lang w:val="fr-FR"/>
              </w:rPr>
              <w:t>les lignes directrices</w:t>
            </w:r>
          </w:p>
          <w:p w14:paraId="747B5404" w14:textId="5DD5717A" w:rsidR="007D19E0" w:rsidRPr="007D19E0" w:rsidRDefault="007D19E0" w:rsidP="007D19E0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(Remarque : cette colonne serait remplacée par « Engagements supplémentaires » dans le format final</w:t>
            </w:r>
          </w:p>
        </w:tc>
      </w:tr>
      <w:tr w:rsidR="007D19E0" w:rsidRPr="007D19E0" w14:paraId="59E306C3" w14:textId="77777777" w:rsidTr="001B2392">
        <w:tc>
          <w:tcPr>
            <w:tcW w:w="14863" w:type="dxa"/>
            <w:gridSpan w:val="4"/>
          </w:tcPr>
          <w:p w14:paraId="13BD228C" w14:textId="06C9E2B3" w:rsidR="007D19E0" w:rsidRPr="007D19E0" w:rsidRDefault="007D19E0" w:rsidP="007D19E0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spacing w:val="-2"/>
                <w:sz w:val="20"/>
                <w:lang w:val="fr-FR"/>
              </w:rPr>
              <w:t xml:space="preserve">II. </w:t>
            </w:r>
            <w:r w:rsidRPr="007D19E0">
              <w:rPr>
                <w:rFonts w:ascii="Ebrima" w:hAnsi="Ebrima" w:cs="Arial"/>
                <w:b/>
                <w:spacing w:val="-2"/>
                <w:sz w:val="20"/>
                <w:lang w:val="fr-FR"/>
              </w:rPr>
              <w:tab/>
            </w:r>
            <w:r w:rsidRPr="007D19E0">
              <w:rPr>
                <w:rFonts w:ascii="Ebrima" w:eastAsia="Calibri" w:hAnsi="Ebrima" w:cs="Arial"/>
                <w:b/>
                <w:sz w:val="20"/>
                <w:szCs w:val="22"/>
                <w:lang w:val="fr-FR" w:eastAsia="en-US"/>
              </w:rPr>
              <w:t>ENGAGEMENTS SECTORIELS SPECIFIQUES</w:t>
            </w:r>
          </w:p>
        </w:tc>
      </w:tr>
      <w:tr w:rsidR="00004FD3" w:rsidRPr="007D19E0" w14:paraId="5836344C" w14:textId="77777777" w:rsidTr="00B3043D">
        <w:tc>
          <w:tcPr>
            <w:tcW w:w="14863" w:type="dxa"/>
            <w:gridSpan w:val="4"/>
          </w:tcPr>
          <w:p w14:paraId="56E2DC9C" w14:textId="4B4AD650" w:rsidR="00004FD3" w:rsidRPr="007D19E0" w:rsidRDefault="00004FD3" w:rsidP="00004FD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b/>
                <w:sz w:val="20"/>
                <w:lang w:val="fr-FR"/>
              </w:rPr>
              <w:t>SERVICES</w:t>
            </w:r>
            <w:r w:rsidR="007D19E0" w:rsidRPr="007D19E0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 xml:space="preserve"> CONCERNANT L’ENVIRONNEMENT</w:t>
            </w:r>
          </w:p>
        </w:tc>
      </w:tr>
      <w:tr w:rsidR="00004FD3" w:rsidRPr="007D19E0" w14:paraId="085EC98E" w14:textId="77777777" w:rsidTr="00B3043D">
        <w:tc>
          <w:tcPr>
            <w:tcW w:w="3674" w:type="dxa"/>
          </w:tcPr>
          <w:p w14:paraId="32812978" w14:textId="2EED2EB7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A.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F46AD9">
              <w:rPr>
                <w:rFonts w:ascii="Ebrima" w:hAnsi="Ebrima"/>
                <w:spacing w:val="-2"/>
                <w:sz w:val="20"/>
                <w:lang w:val="fr-FR"/>
              </w:rPr>
              <w:t>Services d'assainissement, de traitement des eaux usées et de nettoyage de fosses septiques</w:t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sz w:val="20"/>
                <w:lang w:val="fr-FR"/>
              </w:rPr>
              <w:t>(CPC 941)</w:t>
            </w:r>
          </w:p>
        </w:tc>
        <w:tc>
          <w:tcPr>
            <w:tcW w:w="3675" w:type="dxa"/>
          </w:tcPr>
          <w:p w14:paraId="20209C9D" w14:textId="2CCA1BCC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E24F978" w14:textId="6CFF416B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83408C" w14:textId="48DD89B8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54FE711" w14:textId="06B14635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5605776" w14:textId="75F66118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C080D00" w14:textId="4877E042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BE7AF9C" w14:textId="5A90FA5D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48E230" w14:textId="607663BB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11A4892" w14:textId="77777777" w:rsidR="00004FD3" w:rsidRPr="008702C8" w:rsidRDefault="00004FD3" w:rsidP="00C15AE6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>This corresponds to CPC Prov. 9401</w:t>
            </w:r>
            <w:r w:rsidR="00C15AE6" w:rsidRPr="008702C8">
              <w:rPr>
                <w:rFonts w:ascii="Ebrima" w:hAnsi="Ebrima" w:cs="Arial"/>
                <w:b/>
                <w:bCs/>
                <w:sz w:val="20"/>
              </w:rPr>
              <w:t xml:space="preserve"> (sewage services)</w:t>
            </w:r>
            <w:r w:rsidR="00D741EC" w:rsidRPr="008702C8">
              <w:rPr>
                <w:rFonts w:ascii="Ebrima" w:hAnsi="Ebrima" w:cs="Arial"/>
                <w:b/>
                <w:bCs/>
                <w:sz w:val="20"/>
              </w:rPr>
              <w:t>.</w:t>
            </w:r>
          </w:p>
        </w:tc>
      </w:tr>
      <w:tr w:rsidR="00004FD3" w:rsidRPr="007D19E0" w14:paraId="1BC263A3" w14:textId="77777777" w:rsidTr="00B3043D">
        <w:tc>
          <w:tcPr>
            <w:tcW w:w="3674" w:type="dxa"/>
          </w:tcPr>
          <w:p w14:paraId="37670F20" w14:textId="33C36F40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B.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 w:rsidRPr="00F46AD9">
              <w:rPr>
                <w:rFonts w:ascii="Ebrima" w:hAnsi="Ebrima"/>
                <w:spacing w:val="-2"/>
                <w:sz w:val="20"/>
                <w:lang w:val="fr-FR"/>
              </w:rPr>
              <w:t>Services de collecte des déchets</w:t>
            </w:r>
            <w:r w:rsidR="007D19E0" w:rsidRPr="007D19E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(CPC 942)</w:t>
            </w:r>
          </w:p>
        </w:tc>
        <w:tc>
          <w:tcPr>
            <w:tcW w:w="3675" w:type="dxa"/>
          </w:tcPr>
          <w:p w14:paraId="07BBFD7E" w14:textId="1733454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F88D75" w14:textId="73E4E54C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757B4AB" w14:textId="68E75CDB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ABAE4EF" w14:textId="0C281018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EED4C03" w14:textId="160F6E8B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89E8DB" w14:textId="3B444E08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5B6E443" w14:textId="2C37B71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45FBBDA" w14:textId="6D01FF83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7B6680C" w14:textId="77777777" w:rsidR="00004FD3" w:rsidRPr="008702C8" w:rsidRDefault="00004FD3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This corresponds to CPC Prov. 9402 (refuse </w:t>
            </w:r>
            <w:r w:rsidRPr="008702C8">
              <w:rPr>
                <w:rFonts w:ascii="Ebrima" w:hAnsi="Ebrima" w:cs="Arial"/>
                <w:b/>
                <w:bCs/>
                <w:sz w:val="20"/>
                <w:u w:val="single"/>
              </w:rPr>
              <w:t>collection</w:t>
            </w: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 services)</w:t>
            </w:r>
            <w:r w:rsidR="00C15AE6" w:rsidRPr="008702C8">
              <w:rPr>
                <w:rFonts w:ascii="Ebrima" w:hAnsi="Ebrima" w:cs="Arial"/>
                <w:b/>
                <w:bCs/>
                <w:sz w:val="20"/>
              </w:rPr>
              <w:t>.  Waste reduction collection services, e.g. for recycling, are included.</w:t>
            </w:r>
          </w:p>
        </w:tc>
      </w:tr>
      <w:tr w:rsidR="00004FD3" w:rsidRPr="007D19E0" w14:paraId="1898B732" w14:textId="77777777" w:rsidTr="00B3043D">
        <w:tc>
          <w:tcPr>
            <w:tcW w:w="3674" w:type="dxa"/>
          </w:tcPr>
          <w:p w14:paraId="0B751E70" w14:textId="69DCEAEC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C.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 w:rsidRPr="00F46AD9">
              <w:rPr>
                <w:rFonts w:ascii="Ebrima" w:hAnsi="Ebrima"/>
                <w:spacing w:val="-2"/>
                <w:sz w:val="20"/>
                <w:lang w:val="fr-FR"/>
              </w:rPr>
              <w:t>Services de traitement et d'élimination des déchet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s (CPC 943)</w:t>
            </w:r>
          </w:p>
        </w:tc>
        <w:tc>
          <w:tcPr>
            <w:tcW w:w="3675" w:type="dxa"/>
          </w:tcPr>
          <w:p w14:paraId="271D6756" w14:textId="38423E79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E120E02" w14:textId="6574356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5B02C4F" w14:textId="22E5B66E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2A09469" w14:textId="2BFEB57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56A6572" w14:textId="149BEEA2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C2B66F" w14:textId="568B385F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DD8915" w14:textId="00181F20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E0AC6B" w14:textId="1A8EAA29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8434AC9" w14:textId="77777777" w:rsidR="00004FD3" w:rsidRPr="008702C8" w:rsidRDefault="00004FD3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This corresponds to CPC Prov. 9402 (refuse </w:t>
            </w:r>
            <w:r w:rsidRPr="008702C8">
              <w:rPr>
                <w:rFonts w:ascii="Ebrima" w:hAnsi="Ebrima" w:cs="Arial"/>
                <w:b/>
                <w:bCs/>
                <w:sz w:val="20"/>
                <w:u w:val="single"/>
              </w:rPr>
              <w:t>disposal</w:t>
            </w: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 services)</w:t>
            </w:r>
            <w:r w:rsidR="00C15AE6" w:rsidRPr="008702C8">
              <w:rPr>
                <w:rFonts w:ascii="Ebrima" w:hAnsi="Ebrima" w:cs="Arial"/>
                <w:b/>
                <w:bCs/>
                <w:sz w:val="20"/>
              </w:rPr>
              <w:t>.  Waste reduction disposal services, e.g. for recycling, are included.</w:t>
            </w:r>
          </w:p>
        </w:tc>
      </w:tr>
      <w:tr w:rsidR="00004FD3" w:rsidRPr="007D19E0" w14:paraId="63C37F09" w14:textId="77777777" w:rsidTr="00B3043D">
        <w:tc>
          <w:tcPr>
            <w:tcW w:w="3674" w:type="dxa"/>
          </w:tcPr>
          <w:p w14:paraId="35B8B927" w14:textId="333AD48B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D.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 w:rsidRPr="00F46AD9">
              <w:rPr>
                <w:rFonts w:ascii="Ebrima" w:hAnsi="Ebrima"/>
                <w:spacing w:val="-2"/>
                <w:sz w:val="20"/>
                <w:lang w:val="fr-FR"/>
              </w:rPr>
              <w:t>Services de remédiation</w:t>
            </w:r>
            <w:r w:rsidR="007D19E0" w:rsidRPr="007D19E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(CPC 944)</w:t>
            </w:r>
          </w:p>
        </w:tc>
        <w:tc>
          <w:tcPr>
            <w:tcW w:w="3675" w:type="dxa"/>
          </w:tcPr>
          <w:p w14:paraId="0AA3EBA8" w14:textId="0C63EDC2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944161" w14:textId="0334A3D9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9D0CAA" w14:textId="2CC08F8D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FBBB35" w14:textId="4049C307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lastRenderedPageBreak/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E49DE35" w14:textId="7BA9B8CE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2DE7E0F" w14:textId="2A0F4DEF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96C104" w14:textId="76D04640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E779FCD" w14:textId="6D3292FE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lastRenderedPageBreak/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E3A6425" w14:textId="77777777" w:rsidR="00004FD3" w:rsidRPr="008702C8" w:rsidRDefault="00C15AE6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Remediation services include services dealing with the effects of contamination caused by operation of facilities or by accidents. These </w:t>
            </w:r>
            <w:r w:rsidRPr="008702C8">
              <w:rPr>
                <w:rFonts w:ascii="Ebrima" w:hAnsi="Ebrima" w:cs="Arial"/>
                <w:b/>
                <w:bCs/>
                <w:sz w:val="20"/>
              </w:rPr>
              <w:lastRenderedPageBreak/>
              <w:t>services aim to eliminate or contain any existing contamination of the soil, water or air and have to be performed on site</w:t>
            </w:r>
          </w:p>
          <w:p w14:paraId="0120D622" w14:textId="77777777" w:rsidR="00C15AE6" w:rsidRPr="008702C8" w:rsidRDefault="00C15AE6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In </w:t>
            </w:r>
            <w:r w:rsidR="00D741EC" w:rsidRPr="008702C8">
              <w:rPr>
                <w:rFonts w:ascii="Ebrima" w:hAnsi="Ebrima" w:cs="Arial"/>
                <w:b/>
                <w:bCs/>
                <w:sz w:val="20"/>
              </w:rPr>
              <w:t>CPC Prov., this was not listed separately and was covered under CPC 9409 (Other)</w:t>
            </w:r>
          </w:p>
        </w:tc>
      </w:tr>
      <w:tr w:rsidR="00004FD3" w:rsidRPr="007D19E0" w14:paraId="0626FF73" w14:textId="77777777" w:rsidTr="00B3043D">
        <w:tc>
          <w:tcPr>
            <w:tcW w:w="3674" w:type="dxa"/>
          </w:tcPr>
          <w:p w14:paraId="5DED6E4F" w14:textId="5EEDF313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E.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>
              <w:rPr>
                <w:rFonts w:ascii="Ebrima" w:hAnsi="Ebrima"/>
                <w:spacing w:val="-2"/>
                <w:sz w:val="20"/>
                <w:lang w:val="fr-FR"/>
              </w:rPr>
              <w:t>Services d’a</w:t>
            </w:r>
            <w:r w:rsidR="007D19E0" w:rsidRPr="005C0B91">
              <w:rPr>
                <w:rFonts w:ascii="Ebrima" w:hAnsi="Ebrima"/>
                <w:spacing w:val="-2"/>
                <w:sz w:val="20"/>
                <w:lang w:val="fr-FR"/>
              </w:rPr>
              <w:t xml:space="preserve">ssainissement et services </w:t>
            </w:r>
            <w:r w:rsidR="007D19E0">
              <w:rPr>
                <w:rFonts w:ascii="Ebrima" w:hAnsi="Ebrima"/>
                <w:spacing w:val="-2"/>
                <w:sz w:val="20"/>
                <w:lang w:val="fr-FR"/>
              </w:rPr>
              <w:t>analogues</w:t>
            </w:r>
            <w:r w:rsidR="007D19E0" w:rsidRPr="007D19E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(CPC 945)</w:t>
            </w:r>
          </w:p>
        </w:tc>
        <w:tc>
          <w:tcPr>
            <w:tcW w:w="3675" w:type="dxa"/>
          </w:tcPr>
          <w:p w14:paraId="78ADC388" w14:textId="127975C2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D333BC2" w14:textId="24B2EC4E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18844FC" w14:textId="1239F4A8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3CB6AA4" w14:textId="0F8AE317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DC6C90D" w14:textId="3A90CEDE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E1BEFC2" w14:textId="66C08C3D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0C9BF05" w14:textId="016CDF77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6B1D89D" w14:textId="71D7B5C7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FCFE8E9" w14:textId="77777777" w:rsidR="00004FD3" w:rsidRPr="008702C8" w:rsidRDefault="00D741EC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>This corresponds to CPC Prov. 9403 (sanitation</w:t>
            </w:r>
            <w:r w:rsidRPr="008702C8">
              <w:rPr>
                <w:rFonts w:ascii="Ebrima" w:hAnsi="Ebrima" w:cs="Arial"/>
                <w:sz w:val="20"/>
              </w:rPr>
              <w:t xml:space="preserve"> </w:t>
            </w:r>
            <w:r w:rsidRPr="008702C8">
              <w:rPr>
                <w:rFonts w:ascii="Ebrima" w:hAnsi="Ebrima" w:cs="Arial"/>
                <w:b/>
                <w:bCs/>
                <w:sz w:val="20"/>
              </w:rPr>
              <w:t>and similar services).  It includes, e.g. street or runway sweeping and cleaning services; beach cleaning services; and drain unblocking services.</w:t>
            </w:r>
          </w:p>
        </w:tc>
      </w:tr>
      <w:tr w:rsidR="00004FD3" w:rsidRPr="007D19E0" w14:paraId="7C8873D7" w14:textId="77777777" w:rsidTr="00B3043D">
        <w:tc>
          <w:tcPr>
            <w:tcW w:w="3674" w:type="dxa"/>
          </w:tcPr>
          <w:p w14:paraId="21229939" w14:textId="0C8B1261" w:rsidR="00004FD3" w:rsidRPr="007D19E0" w:rsidRDefault="00004FD3" w:rsidP="00004FD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F.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 w:rsidRPr="00564B63">
              <w:rPr>
                <w:rFonts w:ascii="Ebrima" w:hAnsi="Ebrima"/>
                <w:spacing w:val="-2"/>
                <w:sz w:val="20"/>
                <w:lang w:val="fr-FR"/>
              </w:rPr>
              <w:t>Autres services de protection de l'environnement</w:t>
            </w:r>
            <w:r w:rsidR="007D19E0" w:rsidRPr="007D19E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n.</w:t>
            </w:r>
            <w:r w:rsidR="007D19E0">
              <w:rPr>
                <w:rFonts w:ascii="Ebrima" w:hAnsi="Ebrima" w:cs="Arial"/>
                <w:sz w:val="20"/>
                <w:szCs w:val="20"/>
                <w:lang w:val="fr-FR"/>
              </w:rPr>
              <w:t>c.a</w:t>
            </w:r>
            <w:proofErr w:type="spellEnd"/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. (CPC 949)</w:t>
            </w:r>
          </w:p>
        </w:tc>
        <w:tc>
          <w:tcPr>
            <w:tcW w:w="3675" w:type="dxa"/>
          </w:tcPr>
          <w:p w14:paraId="475CED42" w14:textId="5D093660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306D6BD" w14:textId="235EC10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86901BA" w14:textId="2F1920E6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F741A14" w14:textId="02BE6220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419657B" w14:textId="680E6879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D56EF07" w14:textId="01F07F4C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1CED76" w14:textId="585E8BDC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FCE7C8A" w14:textId="5EF236E9" w:rsidR="00004FD3" w:rsidRPr="007D19E0" w:rsidRDefault="00004FD3" w:rsidP="00004FD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F8CAE92" w14:textId="77777777" w:rsidR="00856C7A" w:rsidRPr="008702C8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>This corresponds to CPC Prov. 9409 (other services), apart from remediation services which are listed separately above.</w:t>
            </w:r>
          </w:p>
          <w:p w14:paraId="3311FB5F" w14:textId="77777777" w:rsidR="00856C7A" w:rsidRPr="008702C8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>It also includes:</w:t>
            </w:r>
          </w:p>
          <w:p w14:paraId="53E5274E" w14:textId="77777777" w:rsidR="00856C7A" w:rsidRPr="008702C8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>CPC Prov. 9404 (cleaning services of exhaust gases)</w:t>
            </w:r>
          </w:p>
          <w:p w14:paraId="1921B33B" w14:textId="77777777" w:rsidR="00856C7A" w:rsidRPr="007D19E0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CPC Prov. 9405 (noise </w:t>
            </w:r>
            <w:proofErr w:type="spellStart"/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>abatement</w:t>
            </w:r>
            <w:proofErr w:type="spellEnd"/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</w:t>
            </w:r>
          </w:p>
          <w:p w14:paraId="3CE59462" w14:textId="77777777" w:rsidR="00856C7A" w:rsidRPr="007D19E0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CPC Prov. 9406 (nature and </w:t>
            </w:r>
            <w:proofErr w:type="spellStart"/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>landscape</w:t>
            </w:r>
            <w:proofErr w:type="spellEnd"/>
            <w:r w:rsidRPr="007D19E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protection services)</w:t>
            </w:r>
          </w:p>
          <w:p w14:paraId="4E7A450C" w14:textId="77777777" w:rsidR="00856C7A" w:rsidRPr="008702C8" w:rsidRDefault="00856C7A" w:rsidP="00004FD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which are separately listed in CPC Prov. but are covered by “other” in W/120.  </w:t>
            </w:r>
          </w:p>
          <w:p w14:paraId="43B7C835" w14:textId="77777777" w:rsidR="00004FD3" w:rsidRPr="008702C8" w:rsidRDefault="00856C7A" w:rsidP="00004FD3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Note: Forest and damage assessment and abatement services are covered under Business Services (services incidental to agriculture, forestry and hunting). </w:t>
            </w:r>
          </w:p>
        </w:tc>
      </w:tr>
      <w:tr w:rsidR="00B3043D" w:rsidRPr="007D19E0" w14:paraId="5F8EB526" w14:textId="77777777" w:rsidTr="00B3043D">
        <w:tc>
          <w:tcPr>
            <w:tcW w:w="3674" w:type="dxa"/>
          </w:tcPr>
          <w:p w14:paraId="5EE27959" w14:textId="555C4888" w:rsidR="00B3043D" w:rsidRPr="007D19E0" w:rsidRDefault="00B3043D" w:rsidP="001B2392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G.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7D19E0" w:rsidRPr="00564B63">
              <w:rPr>
                <w:rFonts w:ascii="Ebrima" w:hAnsi="Ebrima"/>
                <w:spacing w:val="-2"/>
                <w:sz w:val="20"/>
                <w:lang w:val="fr-FR"/>
              </w:rPr>
              <w:t>Services de conseil en environnement</w:t>
            </w:r>
            <w:r w:rsidR="007D19E0" w:rsidRPr="007D19E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7D19E0">
              <w:rPr>
                <w:rFonts w:ascii="Ebrima" w:hAnsi="Ebrima" w:cs="Arial"/>
                <w:sz w:val="20"/>
                <w:szCs w:val="20"/>
                <w:lang w:val="fr-FR"/>
              </w:rPr>
              <w:t>(CPC 83931)</w:t>
            </w:r>
          </w:p>
        </w:tc>
        <w:tc>
          <w:tcPr>
            <w:tcW w:w="3675" w:type="dxa"/>
          </w:tcPr>
          <w:p w14:paraId="31562B34" w14:textId="2BB78C1F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C44035" w14:textId="4DCB1F26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0E014AE" w14:textId="5EF629B0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F8658D6" w14:textId="3A70E2A9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400AECDF" w14:textId="2E152256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1)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E2E0CC3" w14:textId="6A26C973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2)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7AC884E" w14:textId="5F4AE296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3)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 w:rsidRPr="007D19E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0F5EEBB" w14:textId="77D054FA" w:rsidR="00B3043D" w:rsidRPr="007D19E0" w:rsidRDefault="00B3043D" w:rsidP="001B2392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7D19E0">
              <w:rPr>
                <w:rFonts w:ascii="Ebrima" w:hAnsi="Ebrima" w:cs="Arial"/>
                <w:sz w:val="20"/>
                <w:lang w:val="fr-FR"/>
              </w:rPr>
              <w:t>4)</w:t>
            </w:r>
            <w:r w:rsidRPr="007D19E0">
              <w:rPr>
                <w:rFonts w:ascii="Ebrima" w:hAnsi="Ebrima" w:cs="Arial"/>
                <w:sz w:val="20"/>
                <w:lang w:val="fr-FR"/>
              </w:rPr>
              <w:tab/>
            </w:r>
            <w:r w:rsidR="007D19E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AA6E43D" w14:textId="7FF57217" w:rsidR="00B3043D" w:rsidRPr="008702C8" w:rsidRDefault="00B3043D" w:rsidP="001B2392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8702C8">
              <w:rPr>
                <w:rFonts w:ascii="Ebrima" w:hAnsi="Ebrima" w:cs="Arial"/>
                <w:b/>
                <w:bCs/>
                <w:sz w:val="20"/>
              </w:rPr>
              <w:t xml:space="preserve">CPC 2.1 lists various “environmental consulting services” under CPC 83931, falling under “Scientific and technical consulting services </w:t>
            </w:r>
            <w:proofErr w:type="spellStart"/>
            <w:r w:rsidRPr="008702C8">
              <w:rPr>
                <w:rFonts w:ascii="Ebrima" w:hAnsi="Ebrima" w:cs="Arial"/>
                <w:b/>
                <w:bCs/>
                <w:sz w:val="20"/>
              </w:rPr>
              <w:t>n.e.c.</w:t>
            </w:r>
            <w:proofErr w:type="spellEnd"/>
            <w:r w:rsidRPr="008702C8">
              <w:rPr>
                <w:rFonts w:ascii="Ebrima" w:hAnsi="Ebrima" w:cs="Arial"/>
                <w:b/>
                <w:bCs/>
                <w:sz w:val="20"/>
              </w:rPr>
              <w:t>”</w:t>
            </w:r>
          </w:p>
        </w:tc>
      </w:tr>
    </w:tbl>
    <w:p w14:paraId="19D0F01A" w14:textId="77777777" w:rsidR="009A6419" w:rsidRPr="008702C8" w:rsidRDefault="00000000"/>
    <w:sectPr w:rsidR="009A6419" w:rsidRPr="008702C8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86A6" w14:textId="77777777" w:rsidR="000D1740" w:rsidRDefault="000D1740" w:rsidP="00004FD3">
      <w:r>
        <w:separator/>
      </w:r>
    </w:p>
  </w:endnote>
  <w:endnote w:type="continuationSeparator" w:id="0">
    <w:p w14:paraId="6A05C3B0" w14:textId="77777777" w:rsidR="000D1740" w:rsidRDefault="000D1740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8446" w14:textId="77777777" w:rsidR="006223C5" w:rsidRDefault="0062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651" w14:textId="77777777" w:rsidR="006223C5" w:rsidRDefault="00622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0FBA" w14:textId="77777777" w:rsidR="006223C5" w:rsidRDefault="0062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2F3F" w14:textId="77777777" w:rsidR="000D1740" w:rsidRDefault="000D1740" w:rsidP="00004FD3">
      <w:r>
        <w:separator/>
      </w:r>
    </w:p>
  </w:footnote>
  <w:footnote w:type="continuationSeparator" w:id="0">
    <w:p w14:paraId="6DF76051" w14:textId="77777777" w:rsidR="000D1740" w:rsidRDefault="000D1740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B1E1" w14:textId="77777777" w:rsidR="006223C5" w:rsidRDefault="0062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30E355B0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2R/Env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0E2D" w14:textId="77777777" w:rsidR="006223C5" w:rsidRDefault="0062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265AD27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2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5"/>
  </w:num>
  <w:num w:numId="8" w16cid:durableId="592787077">
    <w:abstractNumId w:val="33"/>
  </w:num>
  <w:num w:numId="9" w16cid:durableId="1097868858">
    <w:abstractNumId w:val="6"/>
  </w:num>
  <w:num w:numId="10" w16cid:durableId="926309072">
    <w:abstractNumId w:val="26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4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4"/>
  </w:num>
  <w:num w:numId="20" w16cid:durableId="360401542">
    <w:abstractNumId w:val="3"/>
  </w:num>
  <w:num w:numId="21" w16cid:durableId="975797714">
    <w:abstractNumId w:val="30"/>
  </w:num>
  <w:num w:numId="22" w16cid:durableId="1040545058">
    <w:abstractNumId w:val="31"/>
  </w:num>
  <w:num w:numId="23" w16cid:durableId="1967196390">
    <w:abstractNumId w:val="12"/>
  </w:num>
  <w:num w:numId="24" w16cid:durableId="2146459873">
    <w:abstractNumId w:val="25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6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7"/>
  </w:num>
  <w:num w:numId="34" w16cid:durableId="274362791">
    <w:abstractNumId w:val="28"/>
  </w:num>
  <w:num w:numId="35" w16cid:durableId="1482308233">
    <w:abstractNumId w:val="29"/>
  </w:num>
  <w:num w:numId="36" w16cid:durableId="1629582067">
    <w:abstractNumId w:val="22"/>
  </w:num>
  <w:num w:numId="37" w16cid:durableId="1841698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D1413"/>
    <w:rsid w:val="000D1740"/>
    <w:rsid w:val="003012DD"/>
    <w:rsid w:val="00344DCF"/>
    <w:rsid w:val="004822F0"/>
    <w:rsid w:val="00483A8F"/>
    <w:rsid w:val="006223C5"/>
    <w:rsid w:val="007D19E0"/>
    <w:rsid w:val="00856C7A"/>
    <w:rsid w:val="008702C8"/>
    <w:rsid w:val="00A70F84"/>
    <w:rsid w:val="00B3043D"/>
    <w:rsid w:val="00B64A64"/>
    <w:rsid w:val="00C043C3"/>
    <w:rsid w:val="00C15AE6"/>
    <w:rsid w:val="00CA1F4C"/>
    <w:rsid w:val="00D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D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dcterms:created xsi:type="dcterms:W3CDTF">2023-04-16T06:31:00Z</dcterms:created>
  <dcterms:modified xsi:type="dcterms:W3CDTF">2023-04-16T06:31:00Z</dcterms:modified>
</cp:coreProperties>
</file>