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3" w:type="dxa"/>
        <w:tblInd w:w="-162" w:type="dxa"/>
        <w:tblLook w:val="04A0" w:firstRow="1" w:lastRow="0" w:firstColumn="1" w:lastColumn="0" w:noHBand="0" w:noVBand="1"/>
      </w:tblPr>
      <w:tblGrid>
        <w:gridCol w:w="3674"/>
        <w:gridCol w:w="3675"/>
        <w:gridCol w:w="3675"/>
        <w:gridCol w:w="3839"/>
      </w:tblGrid>
      <w:tr w:rsidR="00084311" w:rsidRPr="00C51143" w14:paraId="6248958D" w14:textId="77777777" w:rsidTr="00B63D38">
        <w:trPr>
          <w:tblHeader/>
        </w:trPr>
        <w:tc>
          <w:tcPr>
            <w:tcW w:w="14863" w:type="dxa"/>
            <w:gridSpan w:val="4"/>
          </w:tcPr>
          <w:p w14:paraId="47D21A52" w14:textId="4BF4BF72" w:rsidR="00084311" w:rsidRPr="00084311" w:rsidRDefault="00084311" w:rsidP="00084311">
            <w:pPr>
              <w:spacing w:before="60" w:after="60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/>
                <w:b/>
                <w:sz w:val="20"/>
                <w:lang w:val="fr-FR"/>
              </w:rPr>
              <w:t xml:space="preserve">Mode de </w:t>
            </w:r>
            <w:proofErr w:type="gramStart"/>
            <w:r w:rsidRPr="00C04139">
              <w:rPr>
                <w:rFonts w:ascii="Ebrima" w:hAnsi="Ebrima"/>
                <w:b/>
                <w:sz w:val="20"/>
                <w:lang w:val="fr-FR"/>
              </w:rPr>
              <w:t>fourniture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>:</w:t>
            </w:r>
            <w:proofErr w:type="gramEnd"/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ab/>
              <w:t xml:space="preserve">1)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Fourniture transfrontières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ab/>
            </w:r>
            <w:r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2)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Consommation à l’étranger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ab/>
            </w:r>
            <w:r>
              <w:rPr>
                <w:rFonts w:ascii="Ebrima" w:hAnsi="Ebrima" w:cs="Arial"/>
                <w:b/>
                <w:sz w:val="20"/>
                <w:lang w:val="fr-FR"/>
              </w:rPr>
              <w:t xml:space="preserve">  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3)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Présence commerciale</w:t>
            </w:r>
            <w:r>
              <w:rPr>
                <w:rFonts w:ascii="Ebrima" w:hAnsi="Ebrima"/>
                <w:b/>
                <w:sz w:val="20"/>
                <w:lang w:val="fr-FR"/>
              </w:rPr>
              <w:t xml:space="preserve">   </w:t>
            </w: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4) </w:t>
            </w:r>
            <w:r w:rsidRPr="00C04139">
              <w:rPr>
                <w:rFonts w:ascii="Ebrima" w:hAnsi="Ebrima"/>
                <w:b/>
                <w:sz w:val="20"/>
                <w:lang w:val="fr-FR"/>
              </w:rPr>
              <w:t>Présence de personnes physiques</w:t>
            </w:r>
          </w:p>
        </w:tc>
      </w:tr>
      <w:tr w:rsidR="00084311" w:rsidRPr="00C51143" w14:paraId="3A531EB5" w14:textId="77777777" w:rsidTr="001A547F">
        <w:trPr>
          <w:tblHeader/>
        </w:trPr>
        <w:tc>
          <w:tcPr>
            <w:tcW w:w="3674" w:type="dxa"/>
            <w:tcBorders>
              <w:top w:val="single" w:sz="4" w:space="0" w:color="auto"/>
            </w:tcBorders>
            <w:vAlign w:val="center"/>
          </w:tcPr>
          <w:p w14:paraId="159E334B" w14:textId="349C7936" w:rsidR="00084311" w:rsidRPr="00084311" w:rsidRDefault="00084311" w:rsidP="00084311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C2A39">
              <w:rPr>
                <w:rFonts w:ascii="Ebrima" w:hAnsi="Ebrima" w:cs="Arial"/>
                <w:b/>
                <w:sz w:val="20"/>
              </w:rPr>
              <w:t>Secteur ou sous-secteur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2665828F" w14:textId="77777777" w:rsidR="00084311" w:rsidRDefault="00084311" w:rsidP="00084311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Limitations concernant </w:t>
            </w:r>
          </w:p>
          <w:p w14:paraId="71227B64" w14:textId="1F4E7E32" w:rsidR="00084311" w:rsidRPr="00084311" w:rsidRDefault="00084311" w:rsidP="00084311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proofErr w:type="gramStart"/>
            <w:r w:rsidRPr="00C04139">
              <w:rPr>
                <w:rFonts w:ascii="Ebrima" w:hAnsi="Ebrima" w:cs="Arial"/>
                <w:b/>
                <w:sz w:val="20"/>
                <w:lang w:val="fr-FR"/>
              </w:rPr>
              <w:t>l’accès</w:t>
            </w:r>
            <w:proofErr w:type="gramEnd"/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aux marchés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14:paraId="7ACCBBB8" w14:textId="77777777" w:rsidR="00084311" w:rsidRDefault="00084311" w:rsidP="00084311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>Limitations concernant</w:t>
            </w:r>
          </w:p>
          <w:p w14:paraId="52E49F8B" w14:textId="1B4A8AD1" w:rsidR="00084311" w:rsidRPr="00084311" w:rsidRDefault="00084311" w:rsidP="00084311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</w:t>
            </w:r>
            <w:proofErr w:type="gramStart"/>
            <w:r w:rsidRPr="00C04139">
              <w:rPr>
                <w:rFonts w:ascii="Ebrima" w:hAnsi="Ebrima" w:cs="Arial"/>
                <w:b/>
                <w:sz w:val="20"/>
                <w:lang w:val="fr-FR"/>
              </w:rPr>
              <w:t>le</w:t>
            </w:r>
            <w:proofErr w:type="gramEnd"/>
            <w:r w:rsidRPr="00C04139">
              <w:rPr>
                <w:rFonts w:ascii="Ebrima" w:hAnsi="Ebrima" w:cs="Arial"/>
                <w:b/>
                <w:sz w:val="20"/>
                <w:lang w:val="fr-FR"/>
              </w:rPr>
              <w:t xml:space="preserve"> traitement national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center"/>
          </w:tcPr>
          <w:p w14:paraId="6E79E980" w14:textId="77777777" w:rsidR="00084311" w:rsidRPr="00C04139" w:rsidRDefault="00084311" w:rsidP="00084311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u w:val="single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 xml:space="preserve">Notes du secrétariat pour </w:t>
            </w:r>
            <w:r>
              <w:rPr>
                <w:rFonts w:ascii="Ebrima" w:hAnsi="Ebrima" w:cs="Arial"/>
                <w:b/>
                <w:sz w:val="20"/>
                <w:u w:val="single"/>
                <w:lang w:val="fr-FR"/>
              </w:rPr>
              <w:t>l</w:t>
            </w:r>
            <w:r w:rsidRPr="00C04139">
              <w:rPr>
                <w:rFonts w:ascii="Ebrima" w:hAnsi="Ebrima" w:cs="Arial"/>
                <w:b/>
                <w:sz w:val="20"/>
                <w:u w:val="single"/>
                <w:lang w:val="fr-FR"/>
              </w:rPr>
              <w:t>es lignes directrices</w:t>
            </w:r>
          </w:p>
          <w:p w14:paraId="747B5404" w14:textId="55FFCD8F" w:rsidR="00084311" w:rsidRPr="00084311" w:rsidRDefault="00084311" w:rsidP="00084311">
            <w:pPr>
              <w:spacing w:before="60" w:after="60"/>
              <w:jc w:val="center"/>
              <w:rPr>
                <w:rFonts w:ascii="Ebrima" w:hAnsi="Ebrima" w:cs="Arial"/>
                <w:b/>
                <w:sz w:val="20"/>
                <w:lang w:val="fr-FR"/>
              </w:rPr>
            </w:pPr>
            <w:r w:rsidRPr="00C04139">
              <w:rPr>
                <w:rFonts w:ascii="Ebrima" w:hAnsi="Ebrima" w:cs="Arial"/>
                <w:b/>
                <w:sz w:val="20"/>
                <w:lang w:val="fr-FR"/>
              </w:rPr>
              <w:t>(Remarque : cette colonne serait remplacée par « Engagements supplémentaires » dans le format final</w:t>
            </w:r>
          </w:p>
        </w:tc>
      </w:tr>
      <w:tr w:rsidR="00084311" w:rsidRPr="00084311" w14:paraId="6E30881E" w14:textId="77777777" w:rsidTr="001A547F">
        <w:tc>
          <w:tcPr>
            <w:tcW w:w="14863" w:type="dxa"/>
            <w:gridSpan w:val="4"/>
          </w:tcPr>
          <w:p w14:paraId="21CDC5F8" w14:textId="2443F3E7" w:rsidR="00084311" w:rsidRPr="00084311" w:rsidRDefault="00084311" w:rsidP="00084311">
            <w:pPr>
              <w:spacing w:before="120" w:after="60"/>
              <w:ind w:left="357" w:hanging="357"/>
              <w:jc w:val="left"/>
              <w:rPr>
                <w:rFonts w:ascii="Ebrima" w:hAnsi="Ebrima" w:cs="Arial"/>
                <w:b/>
                <w:spacing w:val="-2"/>
                <w:sz w:val="20"/>
                <w:lang w:val="fr-FR"/>
              </w:rPr>
            </w:pPr>
            <w:r w:rsidRPr="002406D0">
              <w:rPr>
                <w:rFonts w:ascii="Ebrima" w:hAnsi="Ebrima" w:cs="Arial"/>
                <w:b/>
                <w:spacing w:val="-2"/>
                <w:sz w:val="20"/>
              </w:rPr>
              <w:t xml:space="preserve">II. </w:t>
            </w:r>
            <w:r w:rsidRPr="002406D0">
              <w:rPr>
                <w:rFonts w:ascii="Ebrima" w:hAnsi="Ebrima" w:cs="Arial"/>
                <w:b/>
                <w:spacing w:val="-2"/>
                <w:sz w:val="20"/>
              </w:rPr>
              <w:tab/>
            </w:r>
            <w:r w:rsidRPr="00C04139">
              <w:rPr>
                <w:rFonts w:ascii="Ebrima" w:eastAsia="Calibri" w:hAnsi="Ebrima" w:cs="Arial"/>
                <w:b/>
                <w:sz w:val="20"/>
                <w:szCs w:val="22"/>
                <w:lang w:val="en-US" w:eastAsia="en-US"/>
              </w:rPr>
              <w:t>ENGAGEMENTS SECTORIELS SPECIFIQUES</w:t>
            </w:r>
          </w:p>
        </w:tc>
      </w:tr>
      <w:tr w:rsidR="00004FD3" w:rsidRPr="00084311" w14:paraId="5836344C" w14:textId="77777777" w:rsidTr="001A547F">
        <w:tc>
          <w:tcPr>
            <w:tcW w:w="14863" w:type="dxa"/>
            <w:gridSpan w:val="4"/>
          </w:tcPr>
          <w:p w14:paraId="56E2DC9C" w14:textId="08B8BFA1" w:rsidR="00004FD3" w:rsidRPr="00084311" w:rsidRDefault="000E272F" w:rsidP="00970E70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ascii="Ebrima" w:hAnsi="Ebrima" w:cs="Arial"/>
                <w:b/>
                <w:sz w:val="20"/>
                <w:szCs w:val="20"/>
                <w:lang w:val="fr-FR"/>
              </w:rPr>
            </w:pPr>
            <w:r w:rsidRPr="00B60DCA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 xml:space="preserve">SERVICES </w:t>
            </w:r>
            <w:r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>D’</w:t>
            </w:r>
            <w:r w:rsidRPr="00B60DCA">
              <w:rPr>
                <w:rFonts w:ascii="Ebrima" w:hAnsi="Ebrima"/>
                <w:b/>
                <w:bCs/>
                <w:spacing w:val="-2"/>
                <w:sz w:val="20"/>
                <w:lang w:val="fr-FR"/>
              </w:rPr>
              <w:t>EDUCATION</w:t>
            </w:r>
          </w:p>
        </w:tc>
      </w:tr>
      <w:tr w:rsidR="00AE0CDE" w:rsidRPr="00084311" w14:paraId="763A299E" w14:textId="77777777" w:rsidTr="001A547F">
        <w:tc>
          <w:tcPr>
            <w:tcW w:w="3674" w:type="dxa"/>
          </w:tcPr>
          <w:p w14:paraId="60469CA7" w14:textId="198C2E1F" w:rsidR="00AE0CDE" w:rsidRPr="00084311" w:rsidRDefault="00C51143" w:rsidP="00BE0B8F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>
              <w:rPr>
                <w:rFonts w:ascii="Ebrima" w:hAnsi="Ebrima" w:cs="Arial"/>
                <w:sz w:val="20"/>
                <w:szCs w:val="20"/>
                <w:lang w:val="fr-FR"/>
              </w:rPr>
              <w:t>A</w:t>
            </w:r>
            <w:r w:rsidR="00AE0CDE" w:rsidRPr="00084311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="00AE0CDE" w:rsidRPr="00084311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4311" w:rsidRPr="00084311">
              <w:rPr>
                <w:rFonts w:ascii="Ebrima" w:hAnsi="Ebrima"/>
                <w:spacing w:val="-2"/>
                <w:sz w:val="20"/>
                <w:lang w:val="fr-FR"/>
              </w:rPr>
              <w:t>Services d’enseignement pré primaire</w:t>
            </w:r>
            <w:r w:rsidR="00084311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="00AE0CDE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(CPC </w:t>
            </w:r>
            <w:r w:rsidR="002634A8" w:rsidRPr="00084311">
              <w:rPr>
                <w:rFonts w:ascii="Ebrima" w:hAnsi="Ebrima" w:cs="Arial"/>
                <w:sz w:val="20"/>
                <w:szCs w:val="20"/>
                <w:lang w:val="fr-FR"/>
              </w:rPr>
              <w:t>921</w:t>
            </w:r>
            <w:r w:rsidR="00AE0CDE" w:rsidRPr="00084311">
              <w:rPr>
                <w:rFonts w:ascii="Ebrima" w:hAnsi="Ebrima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0FF4A889" w14:textId="6F3BEDF2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7F23888" w14:textId="33E9D013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26F8C0D" w14:textId="56B21615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C5CB5F9" w14:textId="7BD2E2DE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3BBDF6D6" w14:textId="44FC6039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1B34072" w14:textId="3D44CF55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4BBFA94" w14:textId="16D99D4E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A88DD34" w14:textId="61959686" w:rsidR="00AE0CDE" w:rsidRPr="00084311" w:rsidRDefault="00AE0CDE" w:rsidP="00BE0B8F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5A79991C" w14:textId="77777777" w:rsidR="00AE0CDE" w:rsidRPr="00C51143" w:rsidRDefault="00970E70" w:rsidP="00BE0B8F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>This sub-sector is covered by CPC Prov. 9211.  Any existing commitments covering the whole of CPC Prov. 921 should be included here.</w:t>
            </w:r>
          </w:p>
          <w:p w14:paraId="7F9AF1C6" w14:textId="4C907D3D" w:rsidR="00970E70" w:rsidRPr="00C51143" w:rsidRDefault="00970E70" w:rsidP="00BE0B8F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>This sub-sector does not include child day-care services (see under health and social services).</w:t>
            </w:r>
          </w:p>
        </w:tc>
      </w:tr>
      <w:tr w:rsidR="00AE01E3" w:rsidRPr="00084311" w14:paraId="6BF33314" w14:textId="77777777" w:rsidTr="001A547F">
        <w:tc>
          <w:tcPr>
            <w:tcW w:w="3674" w:type="dxa"/>
          </w:tcPr>
          <w:p w14:paraId="32229A87" w14:textId="623BBDF4" w:rsidR="00AE01E3" w:rsidRPr="00084311" w:rsidRDefault="00C51143" w:rsidP="000E6E68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>
              <w:rPr>
                <w:rFonts w:ascii="Ebrima" w:hAnsi="Ebrima" w:cs="Arial"/>
                <w:sz w:val="20"/>
                <w:szCs w:val="20"/>
                <w:lang w:val="fr-FR"/>
              </w:rPr>
              <w:t>B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4311" w:rsidRPr="00084311">
              <w:rPr>
                <w:rFonts w:ascii="Ebrima" w:hAnsi="Ebrima"/>
                <w:spacing w:val="-2"/>
                <w:sz w:val="20"/>
                <w:lang w:val="fr-FR"/>
              </w:rPr>
              <w:t>Services d’enseignement primaire</w:t>
            </w:r>
            <w:r w:rsidR="00084311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(CPC </w:t>
            </w:r>
            <w:r w:rsidR="002634A8" w:rsidRPr="00084311">
              <w:rPr>
                <w:rFonts w:ascii="Ebrima" w:hAnsi="Ebrima" w:cs="Arial"/>
                <w:sz w:val="20"/>
                <w:szCs w:val="20"/>
                <w:lang w:val="fr-FR"/>
              </w:rPr>
              <w:t>922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748EEC94" w14:textId="50EEFD2B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A16EB2B" w14:textId="1195D7AB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C489EC5" w14:textId="7E1F0822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8FFD6B7" w14:textId="5689E337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9DCFA95" w14:textId="05A72F10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D85E047" w14:textId="1D7FF634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3F9B579" w14:textId="28B88F6D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DB3A6D8" w14:textId="2E1FCB37" w:rsidR="00AE01E3" w:rsidRPr="00084311" w:rsidRDefault="00AE01E3" w:rsidP="000E6E68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401475AD" w14:textId="4F0C3EB9" w:rsidR="00AE01E3" w:rsidRPr="00C51143" w:rsidRDefault="00970E70" w:rsidP="000E6E68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>This sub-sector is covered by CPC Prov. 9219.  Any existing commitments covering the whole of CPC Prov. 921 should be included here.</w:t>
            </w:r>
          </w:p>
        </w:tc>
      </w:tr>
      <w:tr w:rsidR="00AE01E3" w:rsidRPr="00084311" w14:paraId="3EFDB83A" w14:textId="77777777" w:rsidTr="001A547F">
        <w:tc>
          <w:tcPr>
            <w:tcW w:w="3674" w:type="dxa"/>
          </w:tcPr>
          <w:p w14:paraId="36700B03" w14:textId="1039679E" w:rsidR="00AE01E3" w:rsidRPr="00084311" w:rsidRDefault="00C51143" w:rsidP="00AE01E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>
              <w:rPr>
                <w:rFonts w:ascii="Ebrima" w:hAnsi="Ebrima" w:cs="Arial"/>
                <w:sz w:val="20"/>
                <w:szCs w:val="20"/>
                <w:lang w:val="fr-FR"/>
              </w:rPr>
              <w:t>C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4311" w:rsidRPr="00084311">
              <w:rPr>
                <w:rFonts w:ascii="Ebrima" w:hAnsi="Ebrima"/>
                <w:spacing w:val="-2"/>
                <w:sz w:val="20"/>
                <w:lang w:val="fr-FR"/>
              </w:rPr>
              <w:t>Services d’enseignement secondaire</w:t>
            </w:r>
            <w:r w:rsidR="00084311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(CPC </w:t>
            </w:r>
            <w:r w:rsidR="002634A8" w:rsidRPr="00084311">
              <w:rPr>
                <w:rFonts w:ascii="Ebrima" w:hAnsi="Ebrima" w:cs="Arial"/>
                <w:sz w:val="20"/>
                <w:szCs w:val="20"/>
                <w:lang w:val="fr-FR"/>
              </w:rPr>
              <w:t>923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74234F8D" w14:textId="315BA055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9AFBD93" w14:textId="02F9E2DA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360872DD" w14:textId="25BC3A82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3634078" w14:textId="3440EB11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509CFAC" w14:textId="1B535F0A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4709F9F" w14:textId="6D6141F8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FA8820F" w14:textId="1C7359F2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1ACEEEC" w14:textId="7EB4A4FD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32569779" w14:textId="58B6319A" w:rsidR="00AE01E3" w:rsidRPr="00C51143" w:rsidRDefault="00AE01E3" w:rsidP="00AE01E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 xml:space="preserve">This </w:t>
            </w:r>
            <w:r w:rsidR="00985E2C" w:rsidRPr="00C51143">
              <w:rPr>
                <w:rFonts w:ascii="Ebrima" w:hAnsi="Ebrima" w:cs="Arial"/>
                <w:b/>
                <w:bCs/>
                <w:sz w:val="20"/>
              </w:rPr>
              <w:t xml:space="preserve">sub-sector </w:t>
            </w:r>
            <w:r w:rsidR="00970E70" w:rsidRPr="00C51143">
              <w:rPr>
                <w:rFonts w:ascii="Ebrima" w:hAnsi="Ebrima" w:cs="Arial"/>
                <w:b/>
                <w:bCs/>
                <w:sz w:val="20"/>
              </w:rPr>
              <w:t>corresponds to CPC Prov. 922.</w:t>
            </w:r>
          </w:p>
        </w:tc>
      </w:tr>
      <w:tr w:rsidR="00AE01E3" w:rsidRPr="00084311" w14:paraId="35EE7E9D" w14:textId="77777777" w:rsidTr="001A547F">
        <w:tc>
          <w:tcPr>
            <w:tcW w:w="3674" w:type="dxa"/>
          </w:tcPr>
          <w:p w14:paraId="7FC6FE08" w14:textId="55ED1499" w:rsidR="00AE01E3" w:rsidRPr="00084311" w:rsidRDefault="00C51143" w:rsidP="00AE01E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szCs w:val="20"/>
                <w:lang w:val="fr-FR"/>
              </w:rPr>
            </w:pPr>
            <w:r>
              <w:rPr>
                <w:rFonts w:ascii="Ebrima" w:hAnsi="Ebrima" w:cs="Arial"/>
                <w:sz w:val="20"/>
                <w:szCs w:val="20"/>
                <w:lang w:val="fr-FR"/>
              </w:rPr>
              <w:t>D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4311" w:rsidRPr="00084311">
              <w:rPr>
                <w:rFonts w:ascii="Ebrima" w:hAnsi="Ebrima"/>
                <w:spacing w:val="-2"/>
                <w:sz w:val="20"/>
                <w:lang w:val="fr-FR"/>
              </w:rPr>
              <w:t>Services d'enseignement post-secondaire non supérieur</w:t>
            </w:r>
            <w:r w:rsidR="00084311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(CPC </w:t>
            </w:r>
            <w:r w:rsidR="00970E70" w:rsidRPr="00084311">
              <w:rPr>
                <w:rFonts w:ascii="Ebrima" w:hAnsi="Ebrima" w:cs="Arial"/>
                <w:sz w:val="20"/>
                <w:szCs w:val="20"/>
                <w:lang w:val="fr-FR"/>
              </w:rPr>
              <w:t>924</w:t>
            </w:r>
            <w:r w:rsidR="00AE01E3" w:rsidRPr="00084311">
              <w:rPr>
                <w:rFonts w:ascii="Ebrima" w:hAnsi="Ebrima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46CA3766" w14:textId="2AFFDA06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6BC30C6" w14:textId="416714C8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CA80B47" w14:textId="321D13E0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100C834D" w14:textId="3FD334AE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1E12AC2C" w14:textId="57A6E814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lastRenderedPageBreak/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D63DAA4" w14:textId="708A55E1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AC7AA6F" w14:textId="5052A282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lastRenderedPageBreak/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B15E754" w14:textId="1495FD09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24C180A8" w14:textId="26604C65" w:rsidR="00D43E8E" w:rsidRPr="00C51143" w:rsidRDefault="00885162" w:rsidP="00D43E8E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lastRenderedPageBreak/>
              <w:t xml:space="preserve">This sub-sector </w:t>
            </w:r>
            <w:r w:rsidR="00970E70" w:rsidRPr="00C51143">
              <w:rPr>
                <w:rFonts w:ascii="Ebrima" w:hAnsi="Ebrima" w:cs="Arial"/>
                <w:b/>
                <w:bCs/>
                <w:sz w:val="20"/>
              </w:rPr>
              <w:t xml:space="preserve">covers </w:t>
            </w:r>
            <w:r w:rsidR="00D43E8E" w:rsidRPr="00C51143">
              <w:rPr>
                <w:rFonts w:ascii="Ebrima" w:hAnsi="Ebrima" w:cs="Arial"/>
                <w:b/>
                <w:bCs/>
                <w:sz w:val="20"/>
              </w:rPr>
              <w:t xml:space="preserve">post-secondary short vocational programmes that lead students to the labour market or </w:t>
            </w:r>
            <w:r w:rsidR="00D43E8E" w:rsidRPr="00C51143">
              <w:rPr>
                <w:rFonts w:ascii="Ebrima" w:hAnsi="Ebrima" w:cs="Arial"/>
                <w:b/>
                <w:bCs/>
                <w:sz w:val="20"/>
              </w:rPr>
              <w:lastRenderedPageBreak/>
              <w:t>programmes with substantial theoretical background instruction specifically designed to prepare students for entry to tertiary education.</w:t>
            </w:r>
          </w:p>
          <w:p w14:paraId="225870DC" w14:textId="2E717DBB" w:rsidR="00D43E8E" w:rsidRPr="00C51143" w:rsidRDefault="00D43E8E" w:rsidP="00D43E8E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>This sub-sector corresponds partly CPC Prov. 923 and 924.  Any distinction reflected in existing commitments should be reflected here.</w:t>
            </w:r>
          </w:p>
        </w:tc>
      </w:tr>
      <w:tr w:rsidR="00AE01E3" w:rsidRPr="00084311" w14:paraId="0F30ECED" w14:textId="77777777" w:rsidTr="001A547F">
        <w:tc>
          <w:tcPr>
            <w:tcW w:w="3674" w:type="dxa"/>
          </w:tcPr>
          <w:p w14:paraId="47385076" w14:textId="3080CC10" w:rsidR="00AE01E3" w:rsidRPr="00084311" w:rsidRDefault="00C51143" w:rsidP="00AE01E3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>
              <w:rPr>
                <w:rFonts w:ascii="Ebrima" w:hAnsi="Ebrima" w:cs="Arial"/>
                <w:sz w:val="20"/>
                <w:lang w:val="fr-FR"/>
              </w:rPr>
              <w:lastRenderedPageBreak/>
              <w:t>E</w:t>
            </w:r>
            <w:r w:rsidR="00AE01E3" w:rsidRPr="00084311">
              <w:rPr>
                <w:rFonts w:ascii="Ebrima" w:hAnsi="Ebrima" w:cs="Arial"/>
                <w:sz w:val="20"/>
                <w:lang w:val="fr-FR"/>
              </w:rPr>
              <w:t>.</w:t>
            </w:r>
            <w:r w:rsidR="00AE01E3"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/>
                <w:spacing w:val="-2"/>
                <w:sz w:val="20"/>
                <w:lang w:val="fr-FR"/>
              </w:rPr>
              <w:t>Services d'enseignement supérieur</w:t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 xml:space="preserve"> </w:t>
            </w:r>
            <w:r w:rsidR="00AE01E3" w:rsidRPr="00084311">
              <w:rPr>
                <w:rFonts w:ascii="Ebrima" w:hAnsi="Ebrima" w:cs="Arial"/>
                <w:sz w:val="20"/>
                <w:lang w:val="fr-FR"/>
              </w:rPr>
              <w:t xml:space="preserve">(CPC </w:t>
            </w:r>
            <w:r w:rsidR="00970E70" w:rsidRPr="00084311">
              <w:rPr>
                <w:rFonts w:ascii="Ebrima" w:hAnsi="Ebrima" w:cs="Arial"/>
                <w:sz w:val="20"/>
                <w:lang w:val="fr-FR"/>
              </w:rPr>
              <w:t>925</w:t>
            </w:r>
            <w:r w:rsidR="00AE01E3" w:rsidRPr="00084311">
              <w:rPr>
                <w:rFonts w:ascii="Ebrima" w:hAnsi="Ebrima" w:cs="Arial"/>
                <w:sz w:val="20"/>
                <w:lang w:val="fr-FR"/>
              </w:rPr>
              <w:t>)</w:t>
            </w:r>
          </w:p>
        </w:tc>
        <w:tc>
          <w:tcPr>
            <w:tcW w:w="3675" w:type="dxa"/>
          </w:tcPr>
          <w:p w14:paraId="37AD2D4C" w14:textId="36AA6586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09AF8A50" w14:textId="6CC862DB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E59E067" w14:textId="3ED4918D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6739DCD" w14:textId="315E469B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02A34301" w14:textId="740F65D2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4C4E1DCF" w14:textId="687489EC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6BDA5AA0" w14:textId="68A3377E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2C79A0A2" w14:textId="683D8475" w:rsidR="00AE01E3" w:rsidRPr="00084311" w:rsidRDefault="00AE01E3" w:rsidP="00AE01E3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1E9C191C" w14:textId="56CF5134" w:rsidR="00AE01E3" w:rsidRPr="00C51143" w:rsidRDefault="00D43E8E" w:rsidP="00AE01E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>This sub-sector covers first stage tertiary education services leading to a university degree or equivalent. Such education services are offered in universities, colleges and similar institutions of higher education; and second stage tertiary education services for tertiary programmes which lead directly to an advanced research qualification, such as a doctoral degree.</w:t>
            </w:r>
          </w:p>
          <w:p w14:paraId="5114348D" w14:textId="2433FD63" w:rsidR="00D43E8E" w:rsidRPr="00C51143" w:rsidRDefault="00D43E8E" w:rsidP="00AE01E3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>This sub-sector corresponds partly CPC Prov. 923 and 924.  Any distinction reflected in existing commitments should be reflected here.</w:t>
            </w:r>
          </w:p>
        </w:tc>
      </w:tr>
      <w:tr w:rsidR="00970E70" w:rsidRPr="00084311" w14:paraId="7B42A0B2" w14:textId="77777777" w:rsidTr="001A547F">
        <w:tc>
          <w:tcPr>
            <w:tcW w:w="3674" w:type="dxa"/>
          </w:tcPr>
          <w:p w14:paraId="6F7B06B9" w14:textId="134478A8" w:rsidR="00970E70" w:rsidRPr="00084311" w:rsidRDefault="00C51143" w:rsidP="00970E70">
            <w:pPr>
              <w:pStyle w:val="ListParagraph"/>
              <w:spacing w:before="60" w:after="60"/>
              <w:ind w:left="357" w:hanging="357"/>
              <w:jc w:val="both"/>
              <w:rPr>
                <w:rFonts w:ascii="Ebrima" w:hAnsi="Ebrima" w:cs="Arial"/>
                <w:sz w:val="20"/>
                <w:lang w:val="fr-FR"/>
              </w:rPr>
            </w:pPr>
            <w:r>
              <w:rPr>
                <w:rFonts w:ascii="Ebrima" w:hAnsi="Ebrima" w:cs="Arial"/>
                <w:sz w:val="20"/>
                <w:szCs w:val="20"/>
                <w:lang w:val="fr-FR"/>
              </w:rPr>
              <w:lastRenderedPageBreak/>
              <w:t>F</w:t>
            </w:r>
            <w:r w:rsidR="00970E70" w:rsidRPr="00084311">
              <w:rPr>
                <w:rFonts w:ascii="Ebrima" w:hAnsi="Ebrima" w:cs="Arial"/>
                <w:sz w:val="20"/>
                <w:szCs w:val="20"/>
                <w:lang w:val="fr-FR"/>
              </w:rPr>
              <w:t>.</w:t>
            </w:r>
            <w:r w:rsidR="00970E70" w:rsidRPr="00084311">
              <w:rPr>
                <w:rFonts w:ascii="Ebrima" w:hAnsi="Ebrima" w:cs="Arial"/>
                <w:sz w:val="20"/>
                <w:szCs w:val="20"/>
                <w:lang w:val="fr-FR"/>
              </w:rPr>
              <w:tab/>
            </w:r>
            <w:r w:rsidR="00084311" w:rsidRPr="00084311">
              <w:rPr>
                <w:rFonts w:ascii="Ebrima" w:hAnsi="Ebrima"/>
                <w:spacing w:val="-2"/>
                <w:sz w:val="20"/>
                <w:lang w:val="fr-FR"/>
              </w:rPr>
              <w:t>Autres services d'éducation et de formation et services de soutien à l'éducation</w:t>
            </w:r>
            <w:r w:rsidR="00084311" w:rsidRPr="00084311">
              <w:rPr>
                <w:rFonts w:ascii="Ebrima" w:hAnsi="Ebrima" w:cs="Arial"/>
                <w:sz w:val="20"/>
                <w:szCs w:val="20"/>
                <w:lang w:val="fr-FR"/>
              </w:rPr>
              <w:t xml:space="preserve"> </w:t>
            </w:r>
            <w:r w:rsidR="00970E70" w:rsidRPr="00084311">
              <w:rPr>
                <w:rFonts w:ascii="Ebrima" w:hAnsi="Ebrima" w:cs="Arial"/>
                <w:sz w:val="20"/>
                <w:szCs w:val="20"/>
                <w:lang w:val="fr-FR"/>
              </w:rPr>
              <w:t>(CPC 929)</w:t>
            </w:r>
          </w:p>
        </w:tc>
        <w:tc>
          <w:tcPr>
            <w:tcW w:w="3675" w:type="dxa"/>
          </w:tcPr>
          <w:p w14:paraId="2960BCC6" w14:textId="57E53D3C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F36C554" w14:textId="77291AAC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33D19B4" w14:textId="06944FA3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DBDE0D0" w14:textId="38AD972A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675" w:type="dxa"/>
          </w:tcPr>
          <w:p w14:paraId="24043ADE" w14:textId="14CFB77A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1)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1530C26" w14:textId="477BE8D2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2)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7A05DBCD" w14:textId="4155F0BF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3)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Néant</w:t>
            </w:r>
          </w:p>
          <w:p w14:paraId="58668445" w14:textId="1A385188" w:rsidR="00970E70" w:rsidRPr="00084311" w:rsidRDefault="00970E70" w:rsidP="00970E70">
            <w:pPr>
              <w:tabs>
                <w:tab w:val="clear" w:pos="720"/>
              </w:tabs>
              <w:spacing w:before="60" w:after="60"/>
              <w:ind w:left="284" w:hanging="284"/>
              <w:rPr>
                <w:rFonts w:ascii="Ebrima" w:hAnsi="Ebrima" w:cs="Arial"/>
                <w:sz w:val="20"/>
                <w:lang w:val="fr-FR"/>
              </w:rPr>
            </w:pPr>
            <w:r w:rsidRPr="00084311">
              <w:rPr>
                <w:rFonts w:ascii="Ebrima" w:hAnsi="Ebrima" w:cs="Arial"/>
                <w:sz w:val="20"/>
                <w:lang w:val="fr-FR"/>
              </w:rPr>
              <w:t>4)</w:t>
            </w:r>
            <w:r w:rsidRPr="00084311">
              <w:rPr>
                <w:rFonts w:ascii="Ebrima" w:hAnsi="Ebrima" w:cs="Arial"/>
                <w:sz w:val="20"/>
                <w:lang w:val="fr-FR"/>
              </w:rPr>
              <w:tab/>
            </w:r>
            <w:r w:rsidR="00084311" w:rsidRPr="00084311">
              <w:rPr>
                <w:rFonts w:ascii="Ebrima" w:hAnsi="Ebrima" w:cs="Arial"/>
                <w:sz w:val="20"/>
                <w:lang w:val="fr-FR"/>
              </w:rPr>
              <w:t>Non consolidé, sauf comme indiqué sous ‘‘Engagements horizontaux’’</w:t>
            </w:r>
          </w:p>
        </w:tc>
        <w:tc>
          <w:tcPr>
            <w:tcW w:w="3839" w:type="dxa"/>
          </w:tcPr>
          <w:p w14:paraId="6FED3CCE" w14:textId="336B82A3" w:rsidR="00970E70" w:rsidRPr="00C51143" w:rsidRDefault="00D43E8E" w:rsidP="00970E70">
            <w:pPr>
              <w:spacing w:before="60" w:after="60"/>
              <w:rPr>
                <w:rFonts w:ascii="Ebrima" w:hAnsi="Ebrima" w:cs="Arial"/>
                <w:b/>
                <w:bCs/>
                <w:sz w:val="20"/>
              </w:rPr>
            </w:pPr>
            <w:r w:rsidRPr="00C51143">
              <w:rPr>
                <w:rFonts w:ascii="Ebrima" w:hAnsi="Ebrima" w:cs="Arial"/>
                <w:b/>
                <w:bCs/>
                <w:sz w:val="20"/>
              </w:rPr>
              <w:t>This sub-sector covers cultural education and training such as music or dance instruction (CPC 92911), driving or flying instruction, management or computer training</w:t>
            </w:r>
            <w:r w:rsidR="00BC5E98" w:rsidRPr="00C51143">
              <w:rPr>
                <w:rFonts w:ascii="Ebrima" w:hAnsi="Ebrima" w:cs="Arial"/>
                <w:b/>
                <w:bCs/>
                <w:sz w:val="20"/>
              </w:rPr>
              <w:t xml:space="preserve"> (CPC 92919), and support services such as educational consulting, counselling, testing, evaluation and student exchange programmes (CPC 9292).</w:t>
            </w:r>
          </w:p>
        </w:tc>
      </w:tr>
    </w:tbl>
    <w:p w14:paraId="19D0F01A" w14:textId="77777777" w:rsidR="009A6419" w:rsidRPr="00C51143" w:rsidRDefault="00000000"/>
    <w:sectPr w:rsidR="009A6419" w:rsidRPr="00C51143" w:rsidSect="00004FD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49F6" w14:textId="77777777" w:rsidR="009E1C60" w:rsidRDefault="009E1C60" w:rsidP="00004FD3">
      <w:r>
        <w:separator/>
      </w:r>
    </w:p>
  </w:endnote>
  <w:endnote w:type="continuationSeparator" w:id="0">
    <w:p w14:paraId="11AD234B" w14:textId="77777777" w:rsidR="009E1C60" w:rsidRDefault="009E1C60" w:rsidP="000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AC9A" w14:textId="77777777" w:rsidR="009E1C60" w:rsidRDefault="009E1C60" w:rsidP="00004FD3">
      <w:r>
        <w:separator/>
      </w:r>
    </w:p>
  </w:footnote>
  <w:footnote w:type="continuationSeparator" w:id="0">
    <w:p w14:paraId="1CF186A3" w14:textId="77777777" w:rsidR="009E1C60" w:rsidRDefault="009E1C60" w:rsidP="0000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142" w14:textId="178C40E2" w:rsidR="00004FD3" w:rsidRPr="002406D0" w:rsidRDefault="00004FD3" w:rsidP="00004FD3">
    <w:pPr>
      <w:pStyle w:val="Header"/>
      <w:tabs>
        <w:tab w:val="left" w:pos="5160"/>
      </w:tabs>
      <w:spacing w:before="60" w:after="60"/>
      <w:rPr>
        <w:rFonts w:ascii="Arial" w:hAnsi="Arial" w:cs="Arial"/>
        <w:b/>
        <w:bCs/>
        <w:iCs/>
        <w:sz w:val="23"/>
        <w:szCs w:val="23"/>
      </w:rPr>
    </w:pPr>
    <w:r w:rsidRPr="00D82519">
      <w:rPr>
        <w:rFonts w:ascii="Arial" w:hAnsi="Arial" w:cs="Arial"/>
        <w:b/>
        <w:bCs/>
        <w:iCs/>
        <w:sz w:val="23"/>
        <w:szCs w:val="23"/>
      </w:rPr>
      <w:t>SADC/</w:t>
    </w:r>
    <w:r>
      <w:rPr>
        <w:rFonts w:ascii="Arial" w:hAnsi="Arial" w:cs="Arial"/>
        <w:b/>
        <w:bCs/>
        <w:iCs/>
        <w:sz w:val="23"/>
        <w:szCs w:val="23"/>
      </w:rPr>
      <w:t>LC</w:t>
    </w:r>
    <w:r w:rsidRPr="00D82519">
      <w:rPr>
        <w:rFonts w:ascii="Arial" w:hAnsi="Arial" w:cs="Arial"/>
        <w:b/>
        <w:bCs/>
        <w:iCs/>
        <w:sz w:val="23"/>
        <w:szCs w:val="23"/>
      </w:rPr>
      <w:t>/</w:t>
    </w:r>
    <w:r>
      <w:rPr>
        <w:rFonts w:ascii="Arial" w:hAnsi="Arial" w:cs="Arial"/>
        <w:b/>
        <w:bCs/>
        <w:iCs/>
        <w:sz w:val="23"/>
        <w:szCs w:val="23"/>
      </w:rPr>
      <w:t>2R/</w:t>
    </w:r>
    <w:r w:rsidR="00970E70">
      <w:rPr>
        <w:rFonts w:ascii="Arial" w:hAnsi="Arial" w:cs="Arial"/>
        <w:b/>
        <w:bCs/>
        <w:iCs/>
        <w:sz w:val="23"/>
        <w:szCs w:val="23"/>
      </w:rPr>
      <w:t>Edu</w:t>
    </w:r>
  </w:p>
  <w:p w14:paraId="43E31D22" w14:textId="77777777" w:rsidR="00004FD3" w:rsidRDefault="00004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641"/>
    <w:multiLevelType w:val="hybridMultilevel"/>
    <w:tmpl w:val="803876BE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D6A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B8E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53E28C9"/>
    <w:multiLevelType w:val="hybridMultilevel"/>
    <w:tmpl w:val="6792B2A2"/>
    <w:lvl w:ilvl="0" w:tplc="797063B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EB2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340"/>
    <w:multiLevelType w:val="hybridMultilevel"/>
    <w:tmpl w:val="F1B428A8"/>
    <w:lvl w:ilvl="0" w:tplc="A3881F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798"/>
    <w:multiLevelType w:val="hybridMultilevel"/>
    <w:tmpl w:val="10747E98"/>
    <w:lvl w:ilvl="0" w:tplc="EF6C904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347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4143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09C3"/>
    <w:multiLevelType w:val="hybridMultilevel"/>
    <w:tmpl w:val="3B60369E"/>
    <w:lvl w:ilvl="0" w:tplc="915A9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FCE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42F8"/>
    <w:multiLevelType w:val="hybridMultilevel"/>
    <w:tmpl w:val="C26424E4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E17"/>
    <w:multiLevelType w:val="hybridMultilevel"/>
    <w:tmpl w:val="5BAEB7FA"/>
    <w:lvl w:ilvl="0" w:tplc="D570B0A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C89CA">
      <w:start w:val="3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48204E92">
      <w:start w:val="2"/>
      <w:numFmt w:val="upp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5EC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A4288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2E6E65F5"/>
    <w:multiLevelType w:val="hybridMultilevel"/>
    <w:tmpl w:val="7CFC5A9E"/>
    <w:lvl w:ilvl="0" w:tplc="81D668E4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9219A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307A4"/>
    <w:multiLevelType w:val="hybridMultilevel"/>
    <w:tmpl w:val="67327F5A"/>
    <w:lvl w:ilvl="0" w:tplc="8E1C3E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E91"/>
    <w:multiLevelType w:val="hybridMultilevel"/>
    <w:tmpl w:val="EFD0A97E"/>
    <w:lvl w:ilvl="0" w:tplc="4E1051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367D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62F6E67E">
      <w:start w:val="3"/>
      <w:numFmt w:val="bullet"/>
      <w:lvlText w:val="-"/>
      <w:lvlJc w:val="left"/>
      <w:pPr>
        <w:ind w:left="1980" w:hanging="360"/>
      </w:pPr>
      <w:rPr>
        <w:rFonts w:ascii="Ebrima" w:eastAsia="Times New Roman" w:hAnsi="Ebrim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1706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274B"/>
    <w:multiLevelType w:val="multilevel"/>
    <w:tmpl w:val="A2262AFA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3CC32B6"/>
    <w:multiLevelType w:val="hybridMultilevel"/>
    <w:tmpl w:val="7E34FFD4"/>
    <w:lvl w:ilvl="0" w:tplc="DAD8485E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8494E2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05E63"/>
    <w:multiLevelType w:val="hybridMultilevel"/>
    <w:tmpl w:val="7FCE910E"/>
    <w:lvl w:ilvl="0" w:tplc="8AEAB2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7C0C"/>
    <w:multiLevelType w:val="hybridMultilevel"/>
    <w:tmpl w:val="90440172"/>
    <w:lvl w:ilvl="0" w:tplc="E98AF2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F58B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E695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2AA"/>
    <w:multiLevelType w:val="hybridMultilevel"/>
    <w:tmpl w:val="5226E51E"/>
    <w:lvl w:ilvl="0" w:tplc="65EEF98A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23D6F"/>
    <w:multiLevelType w:val="hybridMultilevel"/>
    <w:tmpl w:val="0BC85C10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26D3D"/>
    <w:multiLevelType w:val="hybridMultilevel"/>
    <w:tmpl w:val="AEEE6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391A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0033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17A31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72AE0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019A5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30236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823F0"/>
    <w:multiLevelType w:val="hybridMultilevel"/>
    <w:tmpl w:val="4BF6A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B08B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F1A"/>
    <w:multiLevelType w:val="hybridMultilevel"/>
    <w:tmpl w:val="D340BEDE"/>
    <w:lvl w:ilvl="0" w:tplc="65EEF9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A1248"/>
    <w:multiLevelType w:val="hybridMultilevel"/>
    <w:tmpl w:val="0D0262C4"/>
    <w:lvl w:ilvl="0" w:tplc="26B08B5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244FF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32708"/>
    <w:multiLevelType w:val="hybridMultilevel"/>
    <w:tmpl w:val="8F727A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0136">
    <w:abstractNumId w:val="0"/>
  </w:num>
  <w:num w:numId="2" w16cid:durableId="1802989457">
    <w:abstractNumId w:val="2"/>
  </w:num>
  <w:num w:numId="3" w16cid:durableId="1411464818">
    <w:abstractNumId w:val="36"/>
  </w:num>
  <w:num w:numId="4" w16cid:durableId="1580600485">
    <w:abstractNumId w:val="8"/>
  </w:num>
  <w:num w:numId="5" w16cid:durableId="1077438713">
    <w:abstractNumId w:val="19"/>
  </w:num>
  <w:num w:numId="6" w16cid:durableId="1950041285">
    <w:abstractNumId w:val="24"/>
  </w:num>
  <w:num w:numId="7" w16cid:durableId="5207238">
    <w:abstractNumId w:val="39"/>
  </w:num>
  <w:num w:numId="8" w16cid:durableId="592787077">
    <w:abstractNumId w:val="37"/>
  </w:num>
  <w:num w:numId="9" w16cid:durableId="1097868858">
    <w:abstractNumId w:val="7"/>
  </w:num>
  <w:num w:numId="10" w16cid:durableId="926309072">
    <w:abstractNumId w:val="30"/>
  </w:num>
  <w:num w:numId="11" w16cid:durableId="500046425">
    <w:abstractNumId w:val="21"/>
  </w:num>
  <w:num w:numId="12" w16cid:durableId="151140839">
    <w:abstractNumId w:val="6"/>
  </w:num>
  <w:num w:numId="13" w16cid:durableId="90322709">
    <w:abstractNumId w:val="22"/>
  </w:num>
  <w:num w:numId="14" w16cid:durableId="1572544350">
    <w:abstractNumId w:val="13"/>
  </w:num>
  <w:num w:numId="15" w16cid:durableId="178466834">
    <w:abstractNumId w:val="1"/>
  </w:num>
  <w:num w:numId="16" w16cid:durableId="1586452299">
    <w:abstractNumId w:val="38"/>
  </w:num>
  <w:num w:numId="17" w16cid:durableId="285350383">
    <w:abstractNumId w:val="11"/>
  </w:num>
  <w:num w:numId="18" w16cid:durableId="391464855">
    <w:abstractNumId w:val="15"/>
  </w:num>
  <w:num w:numId="19" w16cid:durableId="637951866">
    <w:abstractNumId w:val="28"/>
  </w:num>
  <w:num w:numId="20" w16cid:durableId="360401542">
    <w:abstractNumId w:val="3"/>
  </w:num>
  <w:num w:numId="21" w16cid:durableId="975797714">
    <w:abstractNumId w:val="34"/>
  </w:num>
  <w:num w:numId="22" w16cid:durableId="1040545058">
    <w:abstractNumId w:val="35"/>
  </w:num>
  <w:num w:numId="23" w16cid:durableId="1967196390">
    <w:abstractNumId w:val="14"/>
  </w:num>
  <w:num w:numId="24" w16cid:durableId="2146459873">
    <w:abstractNumId w:val="29"/>
  </w:num>
  <w:num w:numId="25" w16cid:durableId="1924027262">
    <w:abstractNumId w:val="9"/>
  </w:num>
  <w:num w:numId="26" w16cid:durableId="1288731308">
    <w:abstractNumId w:val="18"/>
  </w:num>
  <w:num w:numId="27" w16cid:durableId="1933850568">
    <w:abstractNumId w:val="26"/>
  </w:num>
  <w:num w:numId="28" w16cid:durableId="944077657">
    <w:abstractNumId w:val="23"/>
  </w:num>
  <w:num w:numId="29" w16cid:durableId="1545680300">
    <w:abstractNumId w:val="12"/>
  </w:num>
  <w:num w:numId="30" w16cid:durableId="1407460901">
    <w:abstractNumId w:val="40"/>
  </w:num>
  <w:num w:numId="31" w16cid:durableId="264197512">
    <w:abstractNumId w:val="4"/>
  </w:num>
  <w:num w:numId="32" w16cid:durableId="9071722">
    <w:abstractNumId w:val="20"/>
  </w:num>
  <w:num w:numId="33" w16cid:durableId="1601988858">
    <w:abstractNumId w:val="31"/>
  </w:num>
  <w:num w:numId="34" w16cid:durableId="274362791">
    <w:abstractNumId w:val="32"/>
  </w:num>
  <w:num w:numId="35" w16cid:durableId="1482308233">
    <w:abstractNumId w:val="33"/>
  </w:num>
  <w:num w:numId="36" w16cid:durableId="1629582067">
    <w:abstractNumId w:val="25"/>
  </w:num>
  <w:num w:numId="37" w16cid:durableId="1841698123">
    <w:abstractNumId w:val="17"/>
  </w:num>
  <w:num w:numId="38" w16cid:durableId="1293243739">
    <w:abstractNumId w:val="27"/>
  </w:num>
  <w:num w:numId="39" w16cid:durableId="1147353620">
    <w:abstractNumId w:val="16"/>
  </w:num>
  <w:num w:numId="40" w16cid:durableId="611980219">
    <w:abstractNumId w:val="5"/>
  </w:num>
  <w:num w:numId="41" w16cid:durableId="980185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3"/>
    <w:rsid w:val="00004FD3"/>
    <w:rsid w:val="00025615"/>
    <w:rsid w:val="00056AB1"/>
    <w:rsid w:val="00084311"/>
    <w:rsid w:val="000A7B3F"/>
    <w:rsid w:val="000D1413"/>
    <w:rsid w:val="000E272F"/>
    <w:rsid w:val="001726F5"/>
    <w:rsid w:val="001A547F"/>
    <w:rsid w:val="001E0184"/>
    <w:rsid w:val="00205EF6"/>
    <w:rsid w:val="002323E8"/>
    <w:rsid w:val="002634A8"/>
    <w:rsid w:val="003D50AA"/>
    <w:rsid w:val="004208F3"/>
    <w:rsid w:val="004822F0"/>
    <w:rsid w:val="005E1E32"/>
    <w:rsid w:val="007050C9"/>
    <w:rsid w:val="007129FF"/>
    <w:rsid w:val="00802EDC"/>
    <w:rsid w:val="00856C7A"/>
    <w:rsid w:val="00885162"/>
    <w:rsid w:val="00970E70"/>
    <w:rsid w:val="00985E2C"/>
    <w:rsid w:val="009E1C60"/>
    <w:rsid w:val="009F3F94"/>
    <w:rsid w:val="00AD2DAF"/>
    <w:rsid w:val="00AE01E3"/>
    <w:rsid w:val="00AE0CDE"/>
    <w:rsid w:val="00B3043D"/>
    <w:rsid w:val="00B50DB1"/>
    <w:rsid w:val="00B64A64"/>
    <w:rsid w:val="00BC5E98"/>
    <w:rsid w:val="00C043C3"/>
    <w:rsid w:val="00C15AE6"/>
    <w:rsid w:val="00C51143"/>
    <w:rsid w:val="00CA1F4C"/>
    <w:rsid w:val="00CF42A5"/>
    <w:rsid w:val="00D25F2E"/>
    <w:rsid w:val="00D43E8E"/>
    <w:rsid w:val="00D6128A"/>
    <w:rsid w:val="00D741EC"/>
    <w:rsid w:val="00DC3FFF"/>
    <w:rsid w:val="00DE0420"/>
    <w:rsid w:val="00E30297"/>
    <w:rsid w:val="00E46119"/>
    <w:rsid w:val="00EC43CF"/>
    <w:rsid w:val="00F6037E"/>
    <w:rsid w:val="00F91DA6"/>
    <w:rsid w:val="00FA22EC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988"/>
  <w15:chartTrackingRefBased/>
  <w15:docId w15:val="{5D617548-F4AE-4020-8616-D3EA758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7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D3"/>
    <w:pPr>
      <w:tabs>
        <w:tab w:val="clear" w:pos="720"/>
      </w:tabs>
      <w:spacing w:after="200" w:line="276" w:lineRule="auto"/>
      <w:ind w:left="720"/>
      <w:jc w:val="left"/>
    </w:pPr>
    <w:rPr>
      <w:rFonts w:ascii="Calibri" w:eastAsia="Calibri" w:hAnsi="Calibri" w:cs="Calibri"/>
      <w:szCs w:val="22"/>
      <w:lang w:val="en-US" w:eastAsia="en-US"/>
    </w:rPr>
  </w:style>
  <w:style w:type="table" w:styleId="TableGrid">
    <w:name w:val="Table Grid"/>
    <w:basedOn w:val="TableNormal"/>
    <w:uiPriority w:val="39"/>
    <w:rsid w:val="0000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1"/>
    <w:rsid w:val="00004FD3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004FD3"/>
    <w:pPr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1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4FD3"/>
    <w:pPr>
      <w:tabs>
        <w:tab w:val="clear" w:pos="72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FD3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ntstyle01">
    <w:name w:val="fontstyle01"/>
    <w:basedOn w:val="DefaultParagraphFont"/>
    <w:rsid w:val="00004FD3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AA3C-D3BB-483D-891F-D5754FDE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McKinnon</dc:creator>
  <cp:keywords/>
  <dc:description/>
  <cp:lastModifiedBy>McKinnon, Malcolm</cp:lastModifiedBy>
  <cp:revision>3</cp:revision>
  <cp:lastPrinted>2023-03-29T08:31:00Z</cp:lastPrinted>
  <dcterms:created xsi:type="dcterms:W3CDTF">2023-04-16T06:28:00Z</dcterms:created>
  <dcterms:modified xsi:type="dcterms:W3CDTF">2023-04-16T13:37:00Z</dcterms:modified>
</cp:coreProperties>
</file>