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C04139" w:rsidRPr="00C04139" w14:paraId="6248958D" w14:textId="77777777" w:rsidTr="00DF4345">
        <w:trPr>
          <w:tblHeader/>
        </w:trPr>
        <w:tc>
          <w:tcPr>
            <w:tcW w:w="14863" w:type="dxa"/>
            <w:gridSpan w:val="4"/>
          </w:tcPr>
          <w:p w14:paraId="47D21A52" w14:textId="5666221E" w:rsidR="00C04139" w:rsidRPr="00C04139" w:rsidRDefault="00C04139" w:rsidP="00C04139">
            <w:pPr>
              <w:spacing w:before="60" w:after="60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/>
                <w:b/>
                <w:sz w:val="20"/>
                <w:lang w:val="fr-FR"/>
              </w:rPr>
              <w:t xml:space="preserve">Mode de </w:t>
            </w:r>
            <w:proofErr w:type="gramStart"/>
            <w:r w:rsidRPr="00C04139">
              <w:rPr>
                <w:rFonts w:ascii="Ebrima" w:hAnsi="Ebrima"/>
                <w:b/>
                <w:sz w:val="20"/>
                <w:lang w:val="fr-FR"/>
              </w:rPr>
              <w:t>fourniture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>:</w:t>
            </w:r>
            <w:proofErr w:type="gramEnd"/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ab/>
              <w:t xml:space="preserve">1) </w:t>
            </w:r>
            <w:r w:rsidRPr="00C04139">
              <w:rPr>
                <w:rFonts w:ascii="Ebrima" w:hAnsi="Ebrima"/>
                <w:b/>
                <w:sz w:val="20"/>
                <w:lang w:val="fr-FR"/>
              </w:rPr>
              <w:t>Fourniture transfrontières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ab/>
            </w:r>
            <w:r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2) </w:t>
            </w:r>
            <w:r w:rsidRPr="00C04139">
              <w:rPr>
                <w:rFonts w:ascii="Ebrima" w:hAnsi="Ebrima"/>
                <w:b/>
                <w:sz w:val="20"/>
                <w:lang w:val="fr-FR"/>
              </w:rPr>
              <w:t>Consommation à l’étranger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ab/>
            </w:r>
            <w:r>
              <w:rPr>
                <w:rFonts w:ascii="Ebrima" w:hAnsi="Ebrima" w:cs="Arial"/>
                <w:b/>
                <w:sz w:val="20"/>
                <w:lang w:val="fr-FR"/>
              </w:rPr>
              <w:t xml:space="preserve">   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3) </w:t>
            </w:r>
            <w:r w:rsidRPr="00C04139">
              <w:rPr>
                <w:rFonts w:ascii="Ebrima" w:hAnsi="Ebrima"/>
                <w:b/>
                <w:sz w:val="20"/>
                <w:lang w:val="fr-FR"/>
              </w:rPr>
              <w:t>Présence commerciale</w:t>
            </w:r>
            <w:r>
              <w:rPr>
                <w:rFonts w:ascii="Ebrima" w:hAnsi="Ebrima"/>
                <w:b/>
                <w:sz w:val="20"/>
                <w:lang w:val="fr-FR"/>
              </w:rPr>
              <w:t xml:space="preserve">   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4) </w:t>
            </w:r>
            <w:r w:rsidRPr="00C04139">
              <w:rPr>
                <w:rFonts w:ascii="Ebrima" w:hAnsi="Ebrima"/>
                <w:b/>
                <w:sz w:val="20"/>
                <w:lang w:val="fr-FR"/>
              </w:rPr>
              <w:t>Présence de personnes physiques</w:t>
            </w:r>
          </w:p>
        </w:tc>
      </w:tr>
      <w:tr w:rsidR="00C04139" w:rsidRPr="00C04139" w14:paraId="3A531EB5" w14:textId="77777777" w:rsidTr="00C04139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2EB8D523" w:rsidR="00C04139" w:rsidRPr="002406D0" w:rsidRDefault="00C04139" w:rsidP="00C04139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</w:rPr>
            </w:pPr>
            <w:proofErr w:type="spellStart"/>
            <w:r w:rsidRPr="00CC2A39">
              <w:rPr>
                <w:rFonts w:ascii="Ebrima" w:hAnsi="Ebrima" w:cs="Arial"/>
                <w:b/>
                <w:sz w:val="20"/>
              </w:rPr>
              <w:t>Secteur</w:t>
            </w:r>
            <w:proofErr w:type="spellEnd"/>
            <w:r w:rsidRPr="00CC2A39">
              <w:rPr>
                <w:rFonts w:ascii="Ebrima" w:hAnsi="Ebrima" w:cs="Arial"/>
                <w:b/>
                <w:sz w:val="20"/>
              </w:rPr>
              <w:t xml:space="preserve"> </w:t>
            </w:r>
            <w:proofErr w:type="spellStart"/>
            <w:r w:rsidRPr="00CC2A39">
              <w:rPr>
                <w:rFonts w:ascii="Ebrima" w:hAnsi="Ebrima" w:cs="Arial"/>
                <w:b/>
                <w:sz w:val="20"/>
              </w:rPr>
              <w:t>ou</w:t>
            </w:r>
            <w:proofErr w:type="spellEnd"/>
            <w:r w:rsidRPr="00CC2A39">
              <w:rPr>
                <w:rFonts w:ascii="Ebrima" w:hAnsi="Ebrima" w:cs="Arial"/>
                <w:b/>
                <w:sz w:val="20"/>
              </w:rPr>
              <w:t xml:space="preserve"> sous-</w:t>
            </w:r>
            <w:proofErr w:type="spellStart"/>
            <w:r w:rsidRPr="00CC2A39">
              <w:rPr>
                <w:rFonts w:ascii="Ebrima" w:hAnsi="Ebrima" w:cs="Arial"/>
                <w:b/>
                <w:sz w:val="20"/>
              </w:rPr>
              <w:t>secteur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702533C4" w14:textId="77777777" w:rsidR="00C04139" w:rsidRDefault="00C04139" w:rsidP="00C04139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Limitations concernant </w:t>
            </w:r>
          </w:p>
          <w:p w14:paraId="71227B64" w14:textId="44E068E7" w:rsidR="00C04139" w:rsidRPr="00C04139" w:rsidRDefault="00C04139" w:rsidP="00C04139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proofErr w:type="gramStart"/>
            <w:r w:rsidRPr="00C04139">
              <w:rPr>
                <w:rFonts w:ascii="Ebrima" w:hAnsi="Ebrima" w:cs="Arial"/>
                <w:b/>
                <w:sz w:val="20"/>
                <w:lang w:val="fr-FR"/>
              </w:rPr>
              <w:t>l’accès</w:t>
            </w:r>
            <w:proofErr w:type="gramEnd"/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 aux marchés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52E1A7D6" w14:textId="77777777" w:rsidR="00C04139" w:rsidRDefault="00C04139" w:rsidP="00C04139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>Limitations concernant</w:t>
            </w:r>
          </w:p>
          <w:p w14:paraId="52E49F8B" w14:textId="5E3FDBD7" w:rsidR="00C04139" w:rsidRPr="00C04139" w:rsidRDefault="00C04139" w:rsidP="00C04139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proofErr w:type="gramStart"/>
            <w:r w:rsidRPr="00C04139">
              <w:rPr>
                <w:rFonts w:ascii="Ebrima" w:hAnsi="Ebrima" w:cs="Arial"/>
                <w:b/>
                <w:sz w:val="20"/>
                <w:lang w:val="fr-FR"/>
              </w:rPr>
              <w:t>le</w:t>
            </w:r>
            <w:proofErr w:type="gramEnd"/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 traitement national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58DFA666" w14:textId="27B09D0C" w:rsidR="00C04139" w:rsidRPr="00C04139" w:rsidRDefault="00C04139" w:rsidP="00C04139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u w:val="single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u w:val="single"/>
                <w:lang w:val="fr-FR"/>
              </w:rPr>
              <w:t xml:space="preserve">Notes du secrétariat pour </w:t>
            </w:r>
            <w:r>
              <w:rPr>
                <w:rFonts w:ascii="Ebrima" w:hAnsi="Ebrima" w:cs="Arial"/>
                <w:b/>
                <w:sz w:val="20"/>
                <w:u w:val="single"/>
                <w:lang w:val="fr-FR"/>
              </w:rPr>
              <w:t>l</w:t>
            </w:r>
            <w:r w:rsidRPr="00C04139">
              <w:rPr>
                <w:rFonts w:ascii="Ebrima" w:hAnsi="Ebrima" w:cs="Arial"/>
                <w:b/>
                <w:sz w:val="20"/>
                <w:u w:val="single"/>
                <w:lang w:val="fr-FR"/>
              </w:rPr>
              <w:t xml:space="preserve">es </w:t>
            </w:r>
            <w:r w:rsidRPr="00C04139">
              <w:rPr>
                <w:rFonts w:ascii="Ebrima" w:hAnsi="Ebrima" w:cs="Arial"/>
                <w:b/>
                <w:sz w:val="20"/>
                <w:u w:val="single"/>
                <w:lang w:val="fr-FR"/>
              </w:rPr>
              <w:t>l</w:t>
            </w:r>
            <w:r w:rsidRPr="00C04139">
              <w:rPr>
                <w:rFonts w:ascii="Ebrima" w:hAnsi="Ebrima" w:cs="Arial"/>
                <w:b/>
                <w:sz w:val="20"/>
                <w:u w:val="single"/>
                <w:lang w:val="fr-FR"/>
              </w:rPr>
              <w:t>ignes directrices</w:t>
            </w:r>
          </w:p>
          <w:p w14:paraId="747B5404" w14:textId="16FF6B5A" w:rsidR="00C04139" w:rsidRPr="00C04139" w:rsidRDefault="00C04139" w:rsidP="00C04139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>(Remarque : cette colonne serait remplacée par « Engagements supplémentaires » dans le format final</w:t>
            </w:r>
          </w:p>
        </w:tc>
      </w:tr>
      <w:tr w:rsidR="00C04139" w:rsidRPr="002406D0" w14:paraId="6E30881E" w14:textId="77777777" w:rsidTr="003C45CC">
        <w:tc>
          <w:tcPr>
            <w:tcW w:w="14863" w:type="dxa"/>
            <w:gridSpan w:val="4"/>
          </w:tcPr>
          <w:p w14:paraId="21CDC5F8" w14:textId="46F8BD23" w:rsidR="00C04139" w:rsidRPr="002406D0" w:rsidRDefault="00C04139" w:rsidP="00C04139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</w:rPr>
            </w:pPr>
            <w:r w:rsidRPr="002406D0">
              <w:rPr>
                <w:rFonts w:ascii="Ebrima" w:hAnsi="Ebrima" w:cs="Arial"/>
                <w:b/>
                <w:spacing w:val="-2"/>
                <w:sz w:val="20"/>
              </w:rPr>
              <w:t xml:space="preserve">II. </w:t>
            </w:r>
            <w:r w:rsidRPr="002406D0">
              <w:rPr>
                <w:rFonts w:ascii="Ebrima" w:hAnsi="Ebrima" w:cs="Arial"/>
                <w:b/>
                <w:spacing w:val="-2"/>
                <w:sz w:val="20"/>
              </w:rPr>
              <w:tab/>
            </w:r>
            <w:r w:rsidRPr="00C04139">
              <w:rPr>
                <w:rFonts w:ascii="Ebrima" w:eastAsia="Calibri" w:hAnsi="Ebrima" w:cs="Arial"/>
                <w:b/>
                <w:sz w:val="20"/>
                <w:szCs w:val="22"/>
                <w:lang w:val="en-US" w:eastAsia="en-US"/>
              </w:rPr>
              <w:t>ENGAGEMENTS SECTORIELS SPECIFIQUES</w:t>
            </w:r>
          </w:p>
        </w:tc>
      </w:tr>
      <w:tr w:rsidR="00C04139" w:rsidRPr="00C04139" w14:paraId="5836344C" w14:textId="77777777" w:rsidTr="003C45CC">
        <w:tc>
          <w:tcPr>
            <w:tcW w:w="14863" w:type="dxa"/>
            <w:gridSpan w:val="4"/>
          </w:tcPr>
          <w:p w14:paraId="6E0BED9B" w14:textId="13E2E637" w:rsidR="00C04139" w:rsidRPr="00C04139" w:rsidRDefault="00C04139" w:rsidP="00C04139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="Ebrima" w:hAnsi="Ebrima" w:cs="Arial"/>
                <w:b/>
                <w:sz w:val="20"/>
                <w:szCs w:val="20"/>
                <w:lang w:val="fr-FR"/>
              </w:rPr>
            </w:pPr>
            <w:r w:rsidRPr="005C0B91"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 xml:space="preserve">SERVICES </w:t>
            </w:r>
            <w:r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>RECREATIFS</w:t>
            </w:r>
            <w:r w:rsidRPr="005C0B91"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>, CULTURELS ET SPORTIFS</w:t>
            </w:r>
          </w:p>
          <w:p w14:paraId="56E2DC9C" w14:textId="7FA89EF8" w:rsidR="00C04139" w:rsidRPr="00C04139" w:rsidRDefault="00C04139" w:rsidP="00C04139">
            <w:pPr>
              <w:spacing w:before="60" w:after="60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>(Autre que les services audiovisuels)</w:t>
            </w:r>
          </w:p>
        </w:tc>
      </w:tr>
      <w:tr w:rsidR="00C04139" w:rsidRPr="002406D0" w14:paraId="085EC98E" w14:textId="77777777" w:rsidTr="003C45CC">
        <w:tc>
          <w:tcPr>
            <w:tcW w:w="3674" w:type="dxa"/>
          </w:tcPr>
          <w:p w14:paraId="32812978" w14:textId="083FD24A" w:rsidR="00C04139" w:rsidRPr="00A955C0" w:rsidRDefault="00C04139" w:rsidP="00C0413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 w:rsidRPr="00A955C0">
              <w:rPr>
                <w:rFonts w:ascii="Ebrima" w:hAnsi="Ebrima" w:cs="Arial"/>
                <w:sz w:val="20"/>
                <w:lang w:val="fr-FR"/>
              </w:rPr>
              <w:t>A.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A955C0" w:rsidRPr="00146FA2">
              <w:rPr>
                <w:rFonts w:ascii="Ebrima" w:hAnsi="Ebrima" w:cs="Arial"/>
                <w:sz w:val="20"/>
                <w:lang w:val="fr-FR"/>
              </w:rPr>
              <w:t>Services de présentation et de promotion des arts du spectacle et autres divertissements en direct</w:t>
            </w:r>
            <w:r w:rsidR="00A955C0" w:rsidRPr="00A955C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(CPC 962</w:t>
            </w:r>
            <w:r w:rsidRPr="00A955C0">
              <w:rPr>
                <w:rFonts w:ascii="Ebrima" w:hAnsi="Ebrima" w:cs="Arial"/>
                <w:sz w:val="20"/>
                <w:lang w:val="fr-FR"/>
              </w:rPr>
              <w:t>)</w:t>
            </w:r>
          </w:p>
        </w:tc>
        <w:tc>
          <w:tcPr>
            <w:tcW w:w="3675" w:type="dxa"/>
          </w:tcPr>
          <w:p w14:paraId="20209C9D" w14:textId="393FF3F4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1E24F978" w14:textId="48742CF8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0B83408C" w14:textId="6294BB9C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454FE711" w14:textId="7EAC38CA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5605776" w14:textId="13C96099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7C080D00" w14:textId="17CB9823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5BE7AF9C" w14:textId="04C4BB5E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6248E230" w14:textId="4A640153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1DCABD37" w14:textId="4DC4566A" w:rsidR="00C04139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96191 and 96193 (entertainment services), and part of 96199 to the extent services are </w:t>
            </w:r>
            <w:proofErr w:type="spellStart"/>
            <w:r>
              <w:rPr>
                <w:rFonts w:ascii="Ebrima" w:hAnsi="Ebrima" w:cs="Arial"/>
                <w:b/>
                <w:bCs/>
                <w:sz w:val="20"/>
              </w:rPr>
              <w:t>n.e.c.</w:t>
            </w:r>
            <w:proofErr w:type="spellEnd"/>
            <w:r>
              <w:rPr>
                <w:rFonts w:ascii="Ebrima" w:hAnsi="Ebrima" w:cs="Arial"/>
                <w:b/>
                <w:bCs/>
                <w:sz w:val="20"/>
              </w:rPr>
              <w:t xml:space="preserve">  This sub-sector covers theatrical services and entertainment </w:t>
            </w:r>
            <w:r w:rsidRPr="00D003CE">
              <w:rPr>
                <w:rFonts w:ascii="Ebrima" w:hAnsi="Ebrima" w:cs="Arial"/>
                <w:b/>
                <w:bCs/>
                <w:sz w:val="20"/>
                <w:u w:val="single"/>
              </w:rPr>
              <w:t>events</w:t>
            </w:r>
            <w:r w:rsidRPr="00D003CE">
              <w:rPr>
                <w:rFonts w:ascii="Ebrima" w:hAnsi="Ebrima" w:cs="Arial"/>
                <w:b/>
                <w:bCs/>
                <w:sz w:val="20"/>
              </w:rPr>
              <w:t>, inc</w:t>
            </w:r>
            <w:r>
              <w:rPr>
                <w:rFonts w:ascii="Ebrima" w:hAnsi="Ebrima" w:cs="Arial"/>
                <w:b/>
                <w:bCs/>
                <w:sz w:val="20"/>
              </w:rPr>
              <w:t>l</w:t>
            </w:r>
            <w:r w:rsidRPr="00D003CE">
              <w:rPr>
                <w:rFonts w:ascii="Ebrima" w:hAnsi="Ebrima" w:cs="Arial"/>
                <w:b/>
                <w:bCs/>
                <w:sz w:val="20"/>
              </w:rPr>
              <w:t>uding circus events.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</w:t>
            </w:r>
          </w:p>
          <w:p w14:paraId="211A4892" w14:textId="27EBD803" w:rsidR="00C04139" w:rsidRPr="00004FD3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96192 (performing entertainers and other artists</w:t>
            </w:r>
            <w:proofErr w:type="gramStart"/>
            <w:r>
              <w:rPr>
                <w:rFonts w:ascii="Ebrima" w:hAnsi="Ebrima" w:cs="Arial"/>
                <w:b/>
                <w:bCs/>
                <w:sz w:val="20"/>
              </w:rPr>
              <w:t>),  96194</w:t>
            </w:r>
            <w:proofErr w:type="gramEnd"/>
            <w:r>
              <w:rPr>
                <w:rFonts w:ascii="Ebrima" w:hAnsi="Ebrima" w:cs="Arial"/>
                <w:b/>
                <w:bCs/>
                <w:sz w:val="20"/>
              </w:rPr>
              <w:t xml:space="preserve"> (amusement park and similar attraction services) and 96195 (dance instruction) are covered separately (see below).</w:t>
            </w:r>
          </w:p>
        </w:tc>
      </w:tr>
      <w:tr w:rsidR="00C04139" w:rsidRPr="002406D0" w14:paraId="3AE6F6E8" w14:textId="77777777" w:rsidTr="003C45CC">
        <w:tc>
          <w:tcPr>
            <w:tcW w:w="3674" w:type="dxa"/>
          </w:tcPr>
          <w:p w14:paraId="20CFA0E6" w14:textId="10655BAA" w:rsidR="00C04139" w:rsidRPr="00A955C0" w:rsidRDefault="00C04139" w:rsidP="00C0413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B.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A955C0" w:rsidRPr="00146FA2">
              <w:rPr>
                <w:rFonts w:ascii="Ebrima" w:hAnsi="Ebrima"/>
                <w:spacing w:val="-2"/>
                <w:sz w:val="20"/>
                <w:lang w:val="fr-FR"/>
              </w:rPr>
              <w:t>Services d'artistes interprètes et autres</w:t>
            </w:r>
            <w:r w:rsidR="00A955C0" w:rsidRPr="00A955C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(CPC 963)</w:t>
            </w:r>
          </w:p>
        </w:tc>
        <w:tc>
          <w:tcPr>
            <w:tcW w:w="3675" w:type="dxa"/>
          </w:tcPr>
          <w:p w14:paraId="04701EE7" w14:textId="6F69A1BA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5C5E2B8E" w14:textId="1AB6DA0C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23B9C3CC" w14:textId="36CAF986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585C6A20" w14:textId="66DA3607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1A70B88A" w14:textId="7F7B3889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71643EDA" w14:textId="4A1952D7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2DCC1E4B" w14:textId="38060A26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6C602DE8" w14:textId="27195746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0CE06C8" w14:textId="5C9248BE" w:rsidR="00C04139" w:rsidRPr="00004FD3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96192 (services provided by artists).  </w:t>
            </w:r>
          </w:p>
        </w:tc>
      </w:tr>
      <w:tr w:rsidR="00C04139" w:rsidRPr="002406D0" w14:paraId="1898B732" w14:textId="77777777" w:rsidTr="003C45CC">
        <w:tc>
          <w:tcPr>
            <w:tcW w:w="3674" w:type="dxa"/>
          </w:tcPr>
          <w:p w14:paraId="0B751E70" w14:textId="3E2E3649" w:rsidR="00C04139" w:rsidRPr="00A955C0" w:rsidRDefault="00C04139" w:rsidP="00C0413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C.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A955C0" w:rsidRPr="00146FA2">
              <w:rPr>
                <w:rFonts w:ascii="Ebrima" w:hAnsi="Ebrima"/>
                <w:spacing w:val="-2"/>
                <w:sz w:val="20"/>
                <w:lang w:val="fr-FR"/>
              </w:rPr>
              <w:t>Services de musée et de conservation</w:t>
            </w:r>
            <w:r w:rsidR="00A955C0" w:rsidRPr="00A955C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(CPC 964)</w:t>
            </w:r>
          </w:p>
        </w:tc>
        <w:tc>
          <w:tcPr>
            <w:tcW w:w="3675" w:type="dxa"/>
          </w:tcPr>
          <w:p w14:paraId="271D6756" w14:textId="17621E9C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2E120E02" w14:textId="03AB0F12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05B02C4F" w14:textId="15A6DA91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52A09469" w14:textId="353E108F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756A6572" w14:textId="69FB1165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0DC2B66F" w14:textId="60520AAF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01DD8915" w14:textId="6E8D426D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2AE0AC6B" w14:textId="18E21E07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88C7632" w14:textId="77777777" w:rsidR="00C04139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lastRenderedPageBreak/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partly corresponds to CPC Prov. 963 (l</w:t>
            </w:r>
            <w:r w:rsidRPr="00DF4014">
              <w:rPr>
                <w:rFonts w:ascii="Ebrima" w:hAnsi="Ebrima" w:cs="Arial"/>
                <w:b/>
                <w:bCs/>
                <w:sz w:val="20"/>
              </w:rPr>
              <w:t>ibrary, archive, museum and other cultural services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).  </w:t>
            </w:r>
          </w:p>
          <w:p w14:paraId="0C7920A7" w14:textId="6F67A189" w:rsidR="00C04139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lastRenderedPageBreak/>
              <w:t xml:space="preserve">It includes display services of collections, management and conservation services, and services related to organization of traveling exhibitions, as well as botanical gardens and nature reserve services.  </w:t>
            </w:r>
          </w:p>
          <w:p w14:paraId="08434AC9" w14:textId="7C46F38A" w:rsidR="00C04139" w:rsidRPr="00004FD3" w:rsidRDefault="00C04139" w:rsidP="00C04139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 xml:space="preserve">This split raises no transposition issues for SADC Member States as no MS has made commitments at the WTO, SADC or AfCFTA levels. </w:t>
            </w:r>
          </w:p>
        </w:tc>
      </w:tr>
      <w:tr w:rsidR="00C04139" w:rsidRPr="002406D0" w14:paraId="63C37F09" w14:textId="77777777" w:rsidTr="003C45CC">
        <w:tc>
          <w:tcPr>
            <w:tcW w:w="3674" w:type="dxa"/>
          </w:tcPr>
          <w:p w14:paraId="35B8B927" w14:textId="71B1D9D2" w:rsidR="00C04139" w:rsidRPr="00A955C0" w:rsidRDefault="00C04139" w:rsidP="00C0413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lastRenderedPageBreak/>
              <w:t>D.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A955C0" w:rsidRPr="00146FA2">
              <w:rPr>
                <w:rFonts w:ascii="Ebrima" w:hAnsi="Ebrima"/>
                <w:spacing w:val="-2"/>
                <w:sz w:val="20"/>
                <w:lang w:val="fr-FR"/>
              </w:rPr>
              <w:t xml:space="preserve">Services sportifs et </w:t>
            </w:r>
            <w:proofErr w:type="spellStart"/>
            <w:r w:rsidR="00A955C0" w:rsidRPr="00146FA2">
              <w:rPr>
                <w:rFonts w:ascii="Ebrima" w:hAnsi="Ebrima"/>
                <w:spacing w:val="-2"/>
                <w:sz w:val="20"/>
                <w:lang w:val="fr-FR"/>
              </w:rPr>
              <w:t>récréo</w:t>
            </w:r>
            <w:proofErr w:type="spellEnd"/>
            <w:r w:rsidR="00A955C0" w:rsidRPr="00146FA2">
              <w:rPr>
                <w:rFonts w:ascii="Ebrima" w:hAnsi="Ebrima"/>
                <w:spacing w:val="-2"/>
                <w:sz w:val="20"/>
                <w:lang w:val="fr-FR"/>
              </w:rPr>
              <w:t>-sportifs</w:t>
            </w:r>
            <w:r w:rsidR="00A955C0" w:rsidRPr="00A955C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(CPC 965)</w:t>
            </w:r>
          </w:p>
        </w:tc>
        <w:tc>
          <w:tcPr>
            <w:tcW w:w="3675" w:type="dxa"/>
          </w:tcPr>
          <w:p w14:paraId="0AA3EBA8" w14:textId="20B30439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4D944161" w14:textId="6F72795A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4B9D0CAA" w14:textId="294D65B1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62FBBB35" w14:textId="582CFD9B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E49DE35" w14:textId="39942AAE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22DE7E0F" w14:textId="29D26446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4C96C104" w14:textId="2B44987F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4E779FCD" w14:textId="065B76D4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0120D622" w14:textId="6D943488" w:rsidR="00C04139" w:rsidRPr="003C45CC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96411, 96412 and 93413 (sporting services), plus part of 96419 (other sporting services, except athletes and related support services).</w:t>
            </w:r>
          </w:p>
        </w:tc>
      </w:tr>
      <w:tr w:rsidR="00C04139" w:rsidRPr="002406D0" w14:paraId="27243CCD" w14:textId="77777777" w:rsidTr="003C45CC">
        <w:tc>
          <w:tcPr>
            <w:tcW w:w="3674" w:type="dxa"/>
          </w:tcPr>
          <w:p w14:paraId="6A0D87E4" w14:textId="0785CBBA" w:rsidR="00C04139" w:rsidRPr="00A955C0" w:rsidRDefault="00C04139" w:rsidP="00C0413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E.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A955C0" w:rsidRPr="00146FA2">
              <w:rPr>
                <w:rFonts w:ascii="Ebrima" w:hAnsi="Ebrima"/>
                <w:spacing w:val="-2"/>
                <w:sz w:val="20"/>
                <w:lang w:val="fr-FR"/>
              </w:rPr>
              <w:t>Services aux athlètes et services de soutien connexes</w:t>
            </w:r>
            <w:r w:rsidR="00A955C0" w:rsidRPr="00A955C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(CPC 966)</w:t>
            </w:r>
          </w:p>
        </w:tc>
        <w:tc>
          <w:tcPr>
            <w:tcW w:w="3675" w:type="dxa"/>
          </w:tcPr>
          <w:p w14:paraId="746B96B4" w14:textId="334C5F82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5E815D11" w14:textId="4827B3A8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23DC41C0" w14:textId="211C5B3D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24233728" w14:textId="1F9DCD20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52AD3AE" w14:textId="04E0BC56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3707995F" w14:textId="44562EBD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39939F37" w14:textId="2E90A1EF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7607C0A3" w14:textId="4F6250AB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22761584" w14:textId="56F6F502" w:rsidR="00C04139" w:rsidRPr="00004FD3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part of CPC Prov. 96419 (athletes and related support services).  It covers services of athletes, e.g. services provided by own-account sportspersons, and support services such as those provided by judges, timekeepers, guides, etc.</w:t>
            </w:r>
          </w:p>
        </w:tc>
      </w:tr>
      <w:tr w:rsidR="00C04139" w:rsidRPr="002406D0" w14:paraId="0626FF73" w14:textId="77777777" w:rsidTr="003C45CC">
        <w:tc>
          <w:tcPr>
            <w:tcW w:w="3674" w:type="dxa"/>
          </w:tcPr>
          <w:p w14:paraId="5DED6E4F" w14:textId="4A9803B7" w:rsidR="00C04139" w:rsidRPr="00A955C0" w:rsidRDefault="00C04139" w:rsidP="00C0413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F.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A955C0" w:rsidRPr="00146FA2">
              <w:rPr>
                <w:rFonts w:ascii="Ebrima" w:hAnsi="Ebrima"/>
                <w:spacing w:val="-2"/>
                <w:sz w:val="20"/>
                <w:lang w:val="fr-FR"/>
              </w:rPr>
              <w:t>Autres services d'amusement et récréatifs</w:t>
            </w:r>
            <w:r w:rsidR="00A955C0" w:rsidRPr="00A955C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(CPC 969)</w:t>
            </w:r>
          </w:p>
        </w:tc>
        <w:tc>
          <w:tcPr>
            <w:tcW w:w="3675" w:type="dxa"/>
          </w:tcPr>
          <w:p w14:paraId="78ADC388" w14:textId="2739DBF0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3D333BC2" w14:textId="1DFAF71F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718844FC" w14:textId="20687A43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13CB6AA4" w14:textId="48FAA1AD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7DC6C90D" w14:textId="713CA10E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4E1BEFC2" w14:textId="74F886B3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20C9BF05" w14:textId="2CD7B2CD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76B1D89D" w14:textId="2CBF9A33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1FCFE8E9" w14:textId="2A6057C0" w:rsidR="00C04139" w:rsidRPr="004C2E14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lastRenderedPageBreak/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partly to CPC Prov. 9649 (other recreational services), including amusement park, fun fair, </w:t>
            </w:r>
            <w:r>
              <w:rPr>
                <w:rFonts w:ascii="Ebrima" w:hAnsi="Ebrima" w:cs="Arial"/>
                <w:b/>
                <w:bCs/>
                <w:sz w:val="20"/>
              </w:rPr>
              <w:lastRenderedPageBreak/>
              <w:t xml:space="preserve">preserved railway services, gambling and betting services, coin operated amusement machines, access to dance facilities, park and beach services, “sound and light” performances, fireworks, etc. </w:t>
            </w:r>
          </w:p>
        </w:tc>
      </w:tr>
      <w:tr w:rsidR="00C04139" w:rsidRPr="002406D0" w14:paraId="4BA1988F" w14:textId="77777777" w:rsidTr="003C45CC">
        <w:tc>
          <w:tcPr>
            <w:tcW w:w="3674" w:type="dxa"/>
          </w:tcPr>
          <w:p w14:paraId="73E677CA" w14:textId="568F2E61" w:rsidR="00C04139" w:rsidRPr="00A955C0" w:rsidRDefault="00C04139" w:rsidP="00C0413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lastRenderedPageBreak/>
              <w:t>G.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A955C0">
              <w:rPr>
                <w:rFonts w:ascii="Ebrima" w:hAnsi="Ebrima"/>
                <w:spacing w:val="-2"/>
                <w:sz w:val="20"/>
                <w:lang w:val="fr-FR"/>
              </w:rPr>
              <w:t>Services d’agences de presse</w:t>
            </w:r>
            <w:r w:rsidR="00A955C0" w:rsidRPr="00A955C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(CPC 844)</w:t>
            </w:r>
          </w:p>
        </w:tc>
        <w:tc>
          <w:tcPr>
            <w:tcW w:w="3675" w:type="dxa"/>
          </w:tcPr>
          <w:p w14:paraId="6B8E6742" w14:textId="321029BD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511C37F3" w14:textId="666791A4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429B518D" w14:textId="13DF39EC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5B9453C1" w14:textId="77127275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645E0288" w14:textId="0F6674E4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0593F912" w14:textId="3989A097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18C6DCF7" w14:textId="6491A21C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2017B6C4" w14:textId="27C153BE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8CB382C" w14:textId="77777777" w:rsidR="00C04139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corresponds to CPC Prov. 962 (news agency services), but is listed under information supply services alongside other ICT services.</w:t>
            </w:r>
          </w:p>
          <w:p w14:paraId="3736C7F3" w14:textId="77777777" w:rsidR="00C04139" w:rsidRPr="00DB22EC" w:rsidRDefault="00C04139" w:rsidP="00C04139">
            <w:pPr>
              <w:spacing w:before="60" w:after="60"/>
              <w:rPr>
                <w:rFonts w:ascii="Ebrima" w:hAnsi="Ebrima" w:cs="Arial"/>
                <w:strike/>
                <w:sz w:val="20"/>
              </w:rPr>
            </w:pPr>
            <w:r w:rsidRPr="002E0E04">
              <w:rPr>
                <w:rFonts w:ascii="Ebrima" w:hAnsi="Ebrima" w:cs="Arial"/>
                <w:b/>
                <w:bCs/>
                <w:sz w:val="20"/>
                <w:highlight w:val="yellow"/>
              </w:rPr>
              <w:t>SADC MS may wish to take a decision on where to list this when CPC transposition is carried out for communication services, but for the time being it is listed here as per W/120.</w:t>
            </w:r>
          </w:p>
        </w:tc>
      </w:tr>
      <w:tr w:rsidR="00C04139" w:rsidRPr="002406D0" w14:paraId="1F273E21" w14:textId="77777777" w:rsidTr="003C45CC">
        <w:tc>
          <w:tcPr>
            <w:tcW w:w="3674" w:type="dxa"/>
          </w:tcPr>
          <w:p w14:paraId="11667347" w14:textId="2A9A600B" w:rsidR="00C04139" w:rsidRPr="00A955C0" w:rsidRDefault="00C04139" w:rsidP="00C04139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H.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A955C0">
              <w:rPr>
                <w:rFonts w:ascii="Ebrima" w:hAnsi="Ebrima"/>
                <w:spacing w:val="-2"/>
                <w:sz w:val="20"/>
                <w:lang w:val="fr-FR"/>
              </w:rPr>
              <w:t>Services de b</w:t>
            </w:r>
            <w:r w:rsidR="00A955C0" w:rsidRPr="005C0B91">
              <w:rPr>
                <w:rFonts w:ascii="Ebrima" w:hAnsi="Ebrima"/>
                <w:spacing w:val="-2"/>
                <w:sz w:val="20"/>
                <w:lang w:val="fr-FR"/>
              </w:rPr>
              <w:t>ibliothèques</w:t>
            </w:r>
            <w:r w:rsidR="00A955C0">
              <w:rPr>
                <w:rFonts w:ascii="Ebrima" w:hAnsi="Ebrima"/>
                <w:spacing w:val="-2"/>
                <w:sz w:val="20"/>
                <w:lang w:val="fr-FR"/>
              </w:rPr>
              <w:t xml:space="preserve"> et</w:t>
            </w:r>
            <w:r w:rsidR="00A955C0" w:rsidRPr="00146FA2">
              <w:rPr>
                <w:rFonts w:ascii="Ebrima" w:hAnsi="Ebrima"/>
                <w:spacing w:val="-2"/>
                <w:sz w:val="20"/>
                <w:lang w:val="fr-FR"/>
              </w:rPr>
              <w:t xml:space="preserve"> archives</w:t>
            </w:r>
            <w:r w:rsidR="00A955C0" w:rsidRPr="00A955C0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Pr="00A955C0">
              <w:rPr>
                <w:rFonts w:ascii="Ebrima" w:hAnsi="Ebrima" w:cs="Arial"/>
                <w:sz w:val="20"/>
                <w:szCs w:val="20"/>
                <w:lang w:val="fr-FR"/>
              </w:rPr>
              <w:t>(CPC 845)</w:t>
            </w:r>
          </w:p>
        </w:tc>
        <w:tc>
          <w:tcPr>
            <w:tcW w:w="3675" w:type="dxa"/>
          </w:tcPr>
          <w:p w14:paraId="22612FA7" w14:textId="51F5C761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056DF0BD" w14:textId="4EACA380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65B938AE" w14:textId="1100198D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0DC069FE" w14:textId="77D89730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9AEF5A3" w14:textId="113569E3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1)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3812492E" w14:textId="3603B5FA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2)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308E30D2" w14:textId="25220EB5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3)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Néant</w:t>
            </w:r>
          </w:p>
          <w:p w14:paraId="59F3AA3A" w14:textId="1B111854" w:rsidR="00C04139" w:rsidRPr="00C04139" w:rsidRDefault="00C04139" w:rsidP="00C04139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C04139">
              <w:rPr>
                <w:rFonts w:ascii="Ebrima" w:hAnsi="Ebrima" w:cs="Arial"/>
                <w:sz w:val="20"/>
                <w:lang w:val="fr-FR"/>
              </w:rPr>
              <w:t>4)</w:t>
            </w:r>
            <w:r w:rsidRPr="00C04139">
              <w:rPr>
                <w:rFonts w:ascii="Ebrima" w:hAnsi="Ebrima" w:cs="Arial"/>
                <w:sz w:val="20"/>
                <w:lang w:val="fr-FR"/>
              </w:rPr>
              <w:tab/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73D646EA" w14:textId="04259EA5" w:rsidR="00C04139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004FD3">
              <w:rPr>
                <w:rFonts w:ascii="Ebrima" w:hAnsi="Ebrima" w:cs="Arial"/>
                <w:b/>
                <w:bCs/>
                <w:sz w:val="20"/>
              </w:rPr>
              <w:t>This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partly corresponds to CPC Prov. 963 (l</w:t>
            </w:r>
            <w:r w:rsidRPr="00DF4014">
              <w:rPr>
                <w:rFonts w:ascii="Ebrima" w:hAnsi="Ebrima" w:cs="Arial"/>
                <w:b/>
                <w:bCs/>
                <w:sz w:val="20"/>
              </w:rPr>
              <w:t>ibrary, archive, museum and other cultural services</w:t>
            </w:r>
            <w:r>
              <w:rPr>
                <w:rFonts w:ascii="Ebrima" w:hAnsi="Ebrima" w:cs="Arial"/>
                <w:b/>
                <w:bCs/>
                <w:sz w:val="20"/>
              </w:rPr>
              <w:t>), but is listed under information supply services alongside other ICT services.</w:t>
            </w:r>
          </w:p>
          <w:p w14:paraId="7E6B62A9" w14:textId="77777777" w:rsidR="00C04139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 xml:space="preserve">It covers </w:t>
            </w:r>
            <w:r w:rsidRPr="002E0E04">
              <w:rPr>
                <w:rFonts w:ascii="Ebrima" w:hAnsi="Ebrima" w:cs="Arial"/>
                <w:b/>
                <w:bCs/>
                <w:sz w:val="20"/>
              </w:rPr>
              <w:t>collection, cataloguing, conservation and retrieval services of books and the like; lending of books and records;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operation</w:t>
            </w:r>
            <w:r w:rsidRPr="002E0E04">
              <w:rPr>
                <w:rFonts w:ascii="Ebrima" w:hAnsi="Ebrima" w:cs="Arial"/>
                <w:b/>
                <w:bCs/>
                <w:sz w:val="20"/>
              </w:rPr>
              <w:t xml:space="preserve"> services of </w:t>
            </w:r>
            <w:r w:rsidRPr="002E0E04">
              <w:rPr>
                <w:rFonts w:ascii="Ebrima" w:hAnsi="Ebrima" w:cs="Arial"/>
                <w:b/>
                <w:bCs/>
                <w:sz w:val="20"/>
              </w:rPr>
              <w:lastRenderedPageBreak/>
              <w:t xml:space="preserve">public and historical archives, including digital archives. </w:t>
            </w:r>
          </w:p>
          <w:p w14:paraId="78B4DDB5" w14:textId="77777777" w:rsidR="00C04139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2E0E04">
              <w:rPr>
                <w:rFonts w:ascii="Ebrima" w:hAnsi="Ebrima" w:cs="Arial"/>
                <w:b/>
                <w:bCs/>
                <w:sz w:val="20"/>
                <w:highlight w:val="yellow"/>
              </w:rPr>
              <w:t>SADC MS may wish to take a decision on where to list this when CPC transposition is carried out for communication services, but for the time being it is listed here as per W/120.</w:t>
            </w:r>
            <w:r>
              <w:rPr>
                <w:rFonts w:ascii="Ebrima" w:hAnsi="Ebrima" w:cs="Arial"/>
                <w:b/>
                <w:bCs/>
                <w:sz w:val="20"/>
              </w:rPr>
              <w:t xml:space="preserve">  </w:t>
            </w:r>
          </w:p>
          <w:p w14:paraId="4DAA73BF" w14:textId="77777777" w:rsidR="00C04139" w:rsidRPr="00004FD3" w:rsidRDefault="00C04139" w:rsidP="00C04139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>
              <w:rPr>
                <w:rFonts w:ascii="Ebrima" w:hAnsi="Ebrima" w:cs="Arial"/>
                <w:b/>
                <w:bCs/>
                <w:sz w:val="20"/>
              </w:rPr>
              <w:t>This split raises no transposition issues for SADC Member States as no MS has made commitments at the WTO, SADC or AfCFTA levels.</w:t>
            </w:r>
          </w:p>
        </w:tc>
      </w:tr>
    </w:tbl>
    <w:p w14:paraId="19D0F01A" w14:textId="77777777" w:rsidR="009A6419" w:rsidRDefault="00000000"/>
    <w:sectPr w:rsidR="009A6419" w:rsidSect="0000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AEA2" w14:textId="77777777" w:rsidR="00927730" w:rsidRDefault="00927730" w:rsidP="00004FD3">
      <w:r>
        <w:separator/>
      </w:r>
    </w:p>
  </w:endnote>
  <w:endnote w:type="continuationSeparator" w:id="0">
    <w:p w14:paraId="78328885" w14:textId="77777777" w:rsidR="00927730" w:rsidRDefault="00927730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7E9A" w14:textId="77777777" w:rsidR="00E46119" w:rsidRDefault="00E46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BB92" w14:textId="77777777" w:rsidR="00E46119" w:rsidRDefault="00E46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94C9" w14:textId="77777777" w:rsidR="00E46119" w:rsidRDefault="00E4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5B13" w14:textId="77777777" w:rsidR="00927730" w:rsidRDefault="00927730" w:rsidP="00004FD3">
      <w:r>
        <w:separator/>
      </w:r>
    </w:p>
  </w:footnote>
  <w:footnote w:type="continuationSeparator" w:id="0">
    <w:p w14:paraId="33FBEB51" w14:textId="77777777" w:rsidR="00927730" w:rsidRDefault="00927730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CBA6" w14:textId="77777777" w:rsidR="00E46119" w:rsidRDefault="00E46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7E80998F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</w:t>
    </w:r>
    <w:r w:rsidR="00D6018C">
      <w:rPr>
        <w:rFonts w:ascii="Arial" w:hAnsi="Arial" w:cs="Arial"/>
        <w:b/>
        <w:bCs/>
        <w:iCs/>
        <w:sz w:val="23"/>
        <w:szCs w:val="23"/>
      </w:rPr>
      <w:t>RCS</w:t>
    </w:r>
  </w:p>
  <w:p w14:paraId="43E31D22" w14:textId="77777777" w:rsidR="00004FD3" w:rsidRDefault="0000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6085" w14:textId="77777777" w:rsidR="00E46119" w:rsidRDefault="00E46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C3E91"/>
    <w:multiLevelType w:val="hybridMultilevel"/>
    <w:tmpl w:val="9094EF42"/>
    <w:lvl w:ilvl="0" w:tplc="CBE0D13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42AA"/>
    <w:multiLevelType w:val="hybridMultilevel"/>
    <w:tmpl w:val="5226E51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3"/>
  </w:num>
  <w:num w:numId="4" w16cid:durableId="1580600485">
    <w:abstractNumId w:val="7"/>
  </w:num>
  <w:num w:numId="5" w16cid:durableId="1077438713">
    <w:abstractNumId w:val="16"/>
  </w:num>
  <w:num w:numId="6" w16cid:durableId="1950041285">
    <w:abstractNumId w:val="21"/>
  </w:num>
  <w:num w:numId="7" w16cid:durableId="5207238">
    <w:abstractNumId w:val="36"/>
  </w:num>
  <w:num w:numId="8" w16cid:durableId="592787077">
    <w:abstractNumId w:val="34"/>
  </w:num>
  <w:num w:numId="9" w16cid:durableId="1097868858">
    <w:abstractNumId w:val="6"/>
  </w:num>
  <w:num w:numId="10" w16cid:durableId="926309072">
    <w:abstractNumId w:val="27"/>
  </w:num>
  <w:num w:numId="11" w16cid:durableId="500046425">
    <w:abstractNumId w:val="18"/>
  </w:num>
  <w:num w:numId="12" w16cid:durableId="151140839">
    <w:abstractNumId w:val="5"/>
  </w:num>
  <w:num w:numId="13" w16cid:durableId="90322709">
    <w:abstractNumId w:val="19"/>
  </w:num>
  <w:num w:numId="14" w16cid:durableId="1572544350">
    <w:abstractNumId w:val="11"/>
  </w:num>
  <w:num w:numId="15" w16cid:durableId="178466834">
    <w:abstractNumId w:val="1"/>
  </w:num>
  <w:num w:numId="16" w16cid:durableId="1586452299">
    <w:abstractNumId w:val="35"/>
  </w:num>
  <w:num w:numId="17" w16cid:durableId="285350383">
    <w:abstractNumId w:val="9"/>
  </w:num>
  <w:num w:numId="18" w16cid:durableId="391464855">
    <w:abstractNumId w:val="13"/>
  </w:num>
  <w:num w:numId="19" w16cid:durableId="637951866">
    <w:abstractNumId w:val="25"/>
  </w:num>
  <w:num w:numId="20" w16cid:durableId="360401542">
    <w:abstractNumId w:val="3"/>
  </w:num>
  <w:num w:numId="21" w16cid:durableId="975797714">
    <w:abstractNumId w:val="31"/>
  </w:num>
  <w:num w:numId="22" w16cid:durableId="1040545058">
    <w:abstractNumId w:val="32"/>
  </w:num>
  <w:num w:numId="23" w16cid:durableId="1967196390">
    <w:abstractNumId w:val="12"/>
  </w:num>
  <w:num w:numId="24" w16cid:durableId="2146459873">
    <w:abstractNumId w:val="26"/>
  </w:num>
  <w:num w:numId="25" w16cid:durableId="1924027262">
    <w:abstractNumId w:val="8"/>
  </w:num>
  <w:num w:numId="26" w16cid:durableId="1288731308">
    <w:abstractNumId w:val="15"/>
  </w:num>
  <w:num w:numId="27" w16cid:durableId="1933850568">
    <w:abstractNumId w:val="23"/>
  </w:num>
  <w:num w:numId="28" w16cid:durableId="944077657">
    <w:abstractNumId w:val="20"/>
  </w:num>
  <w:num w:numId="29" w16cid:durableId="1545680300">
    <w:abstractNumId w:val="10"/>
  </w:num>
  <w:num w:numId="30" w16cid:durableId="1407460901">
    <w:abstractNumId w:val="37"/>
  </w:num>
  <w:num w:numId="31" w16cid:durableId="264197512">
    <w:abstractNumId w:val="4"/>
  </w:num>
  <w:num w:numId="32" w16cid:durableId="9071722">
    <w:abstractNumId w:val="17"/>
  </w:num>
  <w:num w:numId="33" w16cid:durableId="1601988858">
    <w:abstractNumId w:val="28"/>
  </w:num>
  <w:num w:numId="34" w16cid:durableId="274362791">
    <w:abstractNumId w:val="29"/>
  </w:num>
  <w:num w:numId="35" w16cid:durableId="1482308233">
    <w:abstractNumId w:val="30"/>
  </w:num>
  <w:num w:numId="36" w16cid:durableId="1629582067">
    <w:abstractNumId w:val="22"/>
  </w:num>
  <w:num w:numId="37" w16cid:durableId="1841698123">
    <w:abstractNumId w:val="14"/>
  </w:num>
  <w:num w:numId="38" w16cid:durableId="12932437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16457"/>
    <w:rsid w:val="00025615"/>
    <w:rsid w:val="000D1413"/>
    <w:rsid w:val="001726F5"/>
    <w:rsid w:val="002323E8"/>
    <w:rsid w:val="002E0E04"/>
    <w:rsid w:val="00321DB5"/>
    <w:rsid w:val="003C45CC"/>
    <w:rsid w:val="003D2E27"/>
    <w:rsid w:val="003D50AA"/>
    <w:rsid w:val="003E2466"/>
    <w:rsid w:val="004208F3"/>
    <w:rsid w:val="004822F0"/>
    <w:rsid w:val="004C2E14"/>
    <w:rsid w:val="00534626"/>
    <w:rsid w:val="005E1E32"/>
    <w:rsid w:val="00631D62"/>
    <w:rsid w:val="00682EC7"/>
    <w:rsid w:val="007050C9"/>
    <w:rsid w:val="007129FF"/>
    <w:rsid w:val="00856C7A"/>
    <w:rsid w:val="00912DB2"/>
    <w:rsid w:val="00927730"/>
    <w:rsid w:val="00A955C0"/>
    <w:rsid w:val="00B3043D"/>
    <w:rsid w:val="00B50DB1"/>
    <w:rsid w:val="00B64A64"/>
    <w:rsid w:val="00C04139"/>
    <w:rsid w:val="00C043C3"/>
    <w:rsid w:val="00C15AE6"/>
    <w:rsid w:val="00CA1F4C"/>
    <w:rsid w:val="00CF42A5"/>
    <w:rsid w:val="00D003CE"/>
    <w:rsid w:val="00D1760C"/>
    <w:rsid w:val="00D25F2E"/>
    <w:rsid w:val="00D6018C"/>
    <w:rsid w:val="00D6128A"/>
    <w:rsid w:val="00D741EC"/>
    <w:rsid w:val="00DF4014"/>
    <w:rsid w:val="00E30297"/>
    <w:rsid w:val="00E46119"/>
    <w:rsid w:val="00FA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3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139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139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0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2</cp:revision>
  <dcterms:created xsi:type="dcterms:W3CDTF">2023-04-16T06:29:00Z</dcterms:created>
  <dcterms:modified xsi:type="dcterms:W3CDTF">2023-04-16T06:29:00Z</dcterms:modified>
</cp:coreProperties>
</file>