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63" w:type="dxa"/>
        <w:tblInd w:w="-162" w:type="dxa"/>
        <w:tblLook w:val="04A0" w:firstRow="1" w:lastRow="0" w:firstColumn="1" w:lastColumn="0" w:noHBand="0" w:noVBand="1"/>
      </w:tblPr>
      <w:tblGrid>
        <w:gridCol w:w="3674"/>
        <w:gridCol w:w="3675"/>
        <w:gridCol w:w="3675"/>
        <w:gridCol w:w="3839"/>
      </w:tblGrid>
      <w:tr w:rsidR="00004FD3" w:rsidRPr="0028372F" w14:paraId="6248958D" w14:textId="77777777" w:rsidTr="00B3043D">
        <w:trPr>
          <w:tblHeader/>
        </w:trPr>
        <w:tc>
          <w:tcPr>
            <w:tcW w:w="14863" w:type="dxa"/>
            <w:gridSpan w:val="4"/>
            <w:vAlign w:val="center"/>
          </w:tcPr>
          <w:p w14:paraId="47D21A52" w14:textId="48090D00" w:rsidR="00004FD3" w:rsidRPr="0028372F" w:rsidRDefault="007274A2" w:rsidP="001B2392">
            <w:pPr>
              <w:spacing w:before="60" w:after="60"/>
              <w:rPr>
                <w:rFonts w:ascii="Ebrima" w:hAnsi="Ebrima" w:cs="Arial"/>
                <w:b/>
                <w:sz w:val="20"/>
                <w:lang w:val="pt-PT"/>
              </w:rPr>
            </w:pPr>
            <w:r w:rsidRPr="0028372F">
              <w:rPr>
                <w:rFonts w:ascii="Ebrima" w:hAnsi="Ebrima"/>
                <w:b/>
                <w:sz w:val="20"/>
                <w:lang w:val="pt-PT"/>
              </w:rPr>
              <w:t>Modo de prestação:</w:t>
            </w:r>
            <w:r w:rsidRPr="0028372F">
              <w:rPr>
                <w:b/>
                <w:sz w:val="16"/>
                <w:szCs w:val="16"/>
                <w:lang w:val="pt-PT"/>
              </w:rPr>
              <w:t xml:space="preserve"> </w:t>
            </w:r>
            <w:r w:rsidRPr="0028372F">
              <w:rPr>
                <w:b/>
                <w:sz w:val="16"/>
                <w:szCs w:val="16"/>
                <w:lang w:val="pt-PT"/>
              </w:rPr>
              <w:tab/>
            </w:r>
            <w:r w:rsidRPr="0028372F">
              <w:rPr>
                <w:rFonts w:ascii="Ebrima" w:hAnsi="Ebrima"/>
                <w:b/>
                <w:sz w:val="20"/>
                <w:lang w:val="pt-PT"/>
              </w:rPr>
              <w:t xml:space="preserve"> (1)  Prestação transfronteiriça</w:t>
            </w:r>
            <w:r w:rsidRPr="0028372F">
              <w:rPr>
                <w:b/>
                <w:sz w:val="16"/>
                <w:szCs w:val="16"/>
                <w:lang w:val="pt-PT"/>
              </w:rPr>
              <w:tab/>
            </w:r>
            <w:r w:rsidRPr="0028372F">
              <w:rPr>
                <w:rFonts w:ascii="Ebrima" w:hAnsi="Ebrima"/>
                <w:b/>
                <w:sz w:val="20"/>
                <w:lang w:val="pt-PT"/>
              </w:rPr>
              <w:t xml:space="preserve"> (2)  Consumo no estrangeiro </w:t>
            </w:r>
            <w:r w:rsidRPr="0028372F">
              <w:rPr>
                <w:b/>
                <w:sz w:val="16"/>
                <w:szCs w:val="16"/>
                <w:lang w:val="pt-PT"/>
              </w:rPr>
              <w:tab/>
            </w:r>
            <w:r w:rsidRPr="0028372F">
              <w:rPr>
                <w:rFonts w:ascii="Ebrima" w:hAnsi="Ebrima"/>
                <w:b/>
                <w:sz w:val="20"/>
                <w:lang w:val="pt-PT"/>
              </w:rPr>
              <w:t xml:space="preserve"> (3) Presença Comercial</w:t>
            </w:r>
            <w:r w:rsidRPr="0028372F">
              <w:rPr>
                <w:b/>
                <w:sz w:val="16"/>
                <w:szCs w:val="16"/>
                <w:lang w:val="pt-PT"/>
              </w:rPr>
              <w:tab/>
            </w:r>
            <w:r w:rsidRPr="0028372F">
              <w:rPr>
                <w:rFonts w:ascii="Ebrima" w:hAnsi="Ebrima"/>
                <w:b/>
                <w:sz w:val="20"/>
                <w:lang w:val="pt-PT"/>
              </w:rPr>
              <w:t xml:space="preserve"> (4)  Presença de pessoa singular</w:t>
            </w:r>
          </w:p>
        </w:tc>
      </w:tr>
      <w:tr w:rsidR="007274A2" w:rsidRPr="0028372F" w14:paraId="3A531EB5" w14:textId="77777777" w:rsidTr="00B3043D">
        <w:trPr>
          <w:tblHeader/>
        </w:trPr>
        <w:tc>
          <w:tcPr>
            <w:tcW w:w="3674" w:type="dxa"/>
            <w:tcBorders>
              <w:top w:val="single" w:sz="4" w:space="0" w:color="auto"/>
            </w:tcBorders>
            <w:vAlign w:val="center"/>
          </w:tcPr>
          <w:p w14:paraId="159E334B" w14:textId="56CD28CC" w:rsidR="007274A2" w:rsidRPr="0028372F" w:rsidRDefault="007274A2" w:rsidP="007274A2">
            <w:pPr>
              <w:spacing w:before="60" w:after="60"/>
              <w:jc w:val="center"/>
              <w:rPr>
                <w:rFonts w:ascii="Ebrima" w:hAnsi="Ebrima" w:cs="Arial"/>
                <w:b/>
                <w:sz w:val="20"/>
                <w:lang w:val="pt-PT"/>
              </w:rPr>
            </w:pPr>
            <w:r w:rsidRPr="0028372F">
              <w:rPr>
                <w:rFonts w:ascii="Ebrima" w:hAnsi="Ebrima"/>
                <w:b/>
                <w:sz w:val="20"/>
                <w:lang w:val="pt-PT"/>
              </w:rPr>
              <w:t>Sectores e subsectores</w:t>
            </w:r>
          </w:p>
        </w:tc>
        <w:tc>
          <w:tcPr>
            <w:tcW w:w="3675" w:type="dxa"/>
            <w:tcBorders>
              <w:top w:val="single" w:sz="4" w:space="0" w:color="auto"/>
            </w:tcBorders>
            <w:vAlign w:val="center"/>
          </w:tcPr>
          <w:p w14:paraId="71227B64" w14:textId="6435C343" w:rsidR="007274A2" w:rsidRPr="0028372F" w:rsidRDefault="007274A2" w:rsidP="007274A2">
            <w:pPr>
              <w:spacing w:before="60" w:after="60"/>
              <w:jc w:val="center"/>
              <w:rPr>
                <w:rFonts w:ascii="Ebrima" w:hAnsi="Ebrima" w:cs="Arial"/>
                <w:b/>
                <w:sz w:val="20"/>
                <w:lang w:val="pt-PT"/>
              </w:rPr>
            </w:pPr>
            <w:r w:rsidRPr="0028372F">
              <w:rPr>
                <w:rFonts w:ascii="Ebrima" w:hAnsi="Ebrima"/>
                <w:b/>
                <w:sz w:val="20"/>
                <w:lang w:val="pt-PT"/>
              </w:rPr>
              <w:t>Limitações no Acesso ao Mercado</w:t>
            </w:r>
          </w:p>
        </w:tc>
        <w:tc>
          <w:tcPr>
            <w:tcW w:w="3675" w:type="dxa"/>
            <w:tcBorders>
              <w:top w:val="single" w:sz="4" w:space="0" w:color="auto"/>
            </w:tcBorders>
            <w:vAlign w:val="center"/>
          </w:tcPr>
          <w:p w14:paraId="52E49F8B" w14:textId="38439906" w:rsidR="007274A2" w:rsidRPr="0028372F" w:rsidRDefault="007274A2" w:rsidP="007274A2">
            <w:pPr>
              <w:spacing w:before="60" w:after="60"/>
              <w:jc w:val="center"/>
              <w:rPr>
                <w:rFonts w:ascii="Ebrima" w:hAnsi="Ebrima" w:cs="Arial"/>
                <w:b/>
                <w:sz w:val="20"/>
                <w:lang w:val="pt-PT"/>
              </w:rPr>
            </w:pPr>
            <w:r w:rsidRPr="0028372F">
              <w:rPr>
                <w:rFonts w:ascii="Ebrima" w:hAnsi="Ebrima"/>
                <w:b/>
                <w:sz w:val="20"/>
                <w:lang w:val="pt-PT"/>
              </w:rPr>
              <w:t>Limitações no Tratamento Nacional</w:t>
            </w:r>
          </w:p>
        </w:tc>
        <w:tc>
          <w:tcPr>
            <w:tcW w:w="3839" w:type="dxa"/>
            <w:tcBorders>
              <w:top w:val="single" w:sz="4" w:space="0" w:color="auto"/>
            </w:tcBorders>
            <w:vAlign w:val="center"/>
          </w:tcPr>
          <w:p w14:paraId="1DA48C99" w14:textId="77777777" w:rsidR="007274A2" w:rsidRPr="003232EC" w:rsidRDefault="007274A2" w:rsidP="007274A2">
            <w:pPr>
              <w:spacing w:before="60" w:after="60"/>
              <w:jc w:val="center"/>
              <w:rPr>
                <w:rFonts w:ascii="Ebrima" w:hAnsi="Ebrima" w:cs="Arial"/>
                <w:b/>
                <w:bCs/>
                <w:sz w:val="20"/>
                <w:u w:val="single"/>
                <w:lang w:val="pt-PT"/>
              </w:rPr>
            </w:pPr>
            <w:r w:rsidRPr="003232EC">
              <w:rPr>
                <w:rFonts w:ascii="Ebrima" w:hAnsi="Ebrima" w:cs="Arial"/>
                <w:b/>
                <w:bCs/>
                <w:sz w:val="20"/>
                <w:u w:val="single"/>
                <w:lang w:val="pt-PT"/>
              </w:rPr>
              <w:t>Notas da secretaria para agendamento</w:t>
            </w:r>
          </w:p>
          <w:p w14:paraId="747B5404" w14:textId="4CB2927D" w:rsidR="007274A2" w:rsidRPr="0028372F" w:rsidRDefault="007274A2" w:rsidP="007274A2">
            <w:pPr>
              <w:spacing w:before="60" w:after="60"/>
              <w:jc w:val="center"/>
              <w:rPr>
                <w:rFonts w:ascii="Ebrima" w:hAnsi="Ebrima" w:cs="Arial"/>
                <w:b/>
                <w:sz w:val="20"/>
                <w:lang w:val="pt-PT"/>
              </w:rPr>
            </w:pPr>
            <w:r w:rsidRPr="003232EC">
              <w:rPr>
                <w:rFonts w:ascii="Ebrima" w:hAnsi="Ebrima" w:cs="Arial"/>
                <w:b/>
                <w:bCs/>
                <w:sz w:val="20"/>
                <w:lang w:val="pt-PT"/>
              </w:rPr>
              <w:t>(Nota: Esta coluna seria substituída por “Compromissos Adicionais” no formato final</w:t>
            </w:r>
            <w:r w:rsidRPr="0028372F">
              <w:rPr>
                <w:rFonts w:ascii="Ebrima" w:hAnsi="Ebrima" w:cs="Arial"/>
                <w:b/>
                <w:bCs/>
                <w:sz w:val="20"/>
                <w:lang w:val="pt-PT"/>
              </w:rPr>
              <w:t>)</w:t>
            </w:r>
          </w:p>
        </w:tc>
      </w:tr>
      <w:tr w:rsidR="00004FD3" w:rsidRPr="0028372F" w14:paraId="6E30881E" w14:textId="77777777" w:rsidTr="00B3043D">
        <w:tc>
          <w:tcPr>
            <w:tcW w:w="14863" w:type="dxa"/>
            <w:gridSpan w:val="4"/>
          </w:tcPr>
          <w:p w14:paraId="21CDC5F8" w14:textId="53390280" w:rsidR="00004FD3" w:rsidRPr="0028372F" w:rsidRDefault="00004FD3" w:rsidP="004208F3">
            <w:pPr>
              <w:spacing w:before="120" w:after="60"/>
              <w:ind w:left="357" w:hanging="357"/>
              <w:jc w:val="left"/>
              <w:rPr>
                <w:rFonts w:ascii="Ebrima" w:hAnsi="Ebrima" w:cs="Arial"/>
                <w:b/>
                <w:spacing w:val="-2"/>
                <w:sz w:val="20"/>
                <w:lang w:val="pt-PT"/>
              </w:rPr>
            </w:pPr>
            <w:r w:rsidRPr="0028372F">
              <w:rPr>
                <w:rFonts w:ascii="Ebrima" w:hAnsi="Ebrima" w:cs="Arial"/>
                <w:b/>
                <w:spacing w:val="-2"/>
                <w:sz w:val="20"/>
                <w:lang w:val="pt-PT"/>
              </w:rPr>
              <w:t xml:space="preserve">II. </w:t>
            </w:r>
            <w:r w:rsidRPr="0028372F">
              <w:rPr>
                <w:rFonts w:ascii="Ebrima" w:hAnsi="Ebrima" w:cs="Arial"/>
                <w:b/>
                <w:spacing w:val="-2"/>
                <w:sz w:val="20"/>
                <w:lang w:val="pt-PT"/>
              </w:rPr>
              <w:tab/>
            </w:r>
            <w:r w:rsidR="007274A2" w:rsidRPr="0028372F">
              <w:rPr>
                <w:rFonts w:ascii="Ebrima" w:hAnsi="Ebrima"/>
                <w:b/>
                <w:sz w:val="20"/>
                <w:lang w:val="pt-PT"/>
              </w:rPr>
              <w:t>COMPROMISSOS DE SECTORES ESPECÍFICOS</w:t>
            </w:r>
          </w:p>
        </w:tc>
      </w:tr>
      <w:tr w:rsidR="00004FD3" w:rsidRPr="0028372F" w14:paraId="5836344C" w14:textId="77777777" w:rsidTr="00B3043D">
        <w:tc>
          <w:tcPr>
            <w:tcW w:w="14863" w:type="dxa"/>
            <w:gridSpan w:val="4"/>
          </w:tcPr>
          <w:p w14:paraId="56E2DC9C" w14:textId="1222F0FA" w:rsidR="00004FD3" w:rsidRPr="0028372F" w:rsidRDefault="0028372F" w:rsidP="007B154C">
            <w:pPr>
              <w:pStyle w:val="ListParagraph"/>
              <w:numPr>
                <w:ilvl w:val="0"/>
                <w:numId w:val="37"/>
              </w:numPr>
              <w:spacing w:before="60" w:after="60"/>
              <w:rPr>
                <w:rFonts w:ascii="Ebrima" w:hAnsi="Ebrima" w:cs="Arial"/>
                <w:b/>
                <w:sz w:val="20"/>
                <w:szCs w:val="20"/>
                <w:lang w:val="pt-PT"/>
              </w:rPr>
            </w:pPr>
            <w:r w:rsidRPr="0028372F">
              <w:rPr>
                <w:rFonts w:ascii="Ebrima" w:hAnsi="Ebrima" w:cs="Arial"/>
                <w:b/>
                <w:sz w:val="20"/>
                <w:lang w:val="pt-PT"/>
              </w:rPr>
              <w:t>SERVIÇOS DE DISTRIBUIÇÃO</w:t>
            </w:r>
          </w:p>
        </w:tc>
      </w:tr>
      <w:tr w:rsidR="0048734F" w:rsidRPr="0028372F" w14:paraId="3C3C8E7C" w14:textId="77777777" w:rsidTr="00B3043D">
        <w:tc>
          <w:tcPr>
            <w:tcW w:w="14863" w:type="dxa"/>
            <w:gridSpan w:val="4"/>
          </w:tcPr>
          <w:p w14:paraId="16B516E8" w14:textId="014ECB58" w:rsidR="0048734F" w:rsidRPr="0028372F" w:rsidRDefault="0028372F" w:rsidP="0048734F">
            <w:pPr>
              <w:pStyle w:val="ListParagraph"/>
              <w:numPr>
                <w:ilvl w:val="1"/>
                <w:numId w:val="37"/>
              </w:numPr>
              <w:spacing w:before="60" w:after="60"/>
              <w:ind w:left="357" w:hanging="357"/>
              <w:rPr>
                <w:rFonts w:ascii="Ebrima" w:hAnsi="Ebrima" w:cs="Arial"/>
                <w:b/>
                <w:sz w:val="20"/>
                <w:lang w:val="pt-PT"/>
              </w:rPr>
            </w:pPr>
            <w:r w:rsidRPr="0028372F">
              <w:rPr>
                <w:rFonts w:ascii="Ebrima" w:hAnsi="Ebrima" w:cs="Arial"/>
                <w:b/>
                <w:bCs/>
                <w:sz w:val="20"/>
                <w:lang w:val="pt-PT"/>
              </w:rPr>
              <w:t>Serviços de comércio por grosso</w:t>
            </w:r>
          </w:p>
        </w:tc>
      </w:tr>
      <w:tr w:rsidR="0028372F" w:rsidRPr="0028372F" w14:paraId="044ABC8D" w14:textId="77777777" w:rsidTr="00D24E20">
        <w:tc>
          <w:tcPr>
            <w:tcW w:w="3674" w:type="dxa"/>
          </w:tcPr>
          <w:p w14:paraId="13F21D4B" w14:textId="41EC3E5F" w:rsidR="0028372F" w:rsidRPr="0028372F" w:rsidRDefault="0028372F" w:rsidP="0028372F">
            <w:pPr>
              <w:pStyle w:val="ListParagraph"/>
              <w:numPr>
                <w:ilvl w:val="0"/>
                <w:numId w:val="43"/>
              </w:numPr>
              <w:spacing w:before="60" w:after="60"/>
              <w:jc w:val="both"/>
              <w:rPr>
                <w:rFonts w:ascii="Ebrima" w:hAnsi="Ebrima" w:cs="Arial"/>
                <w:bCs/>
                <w:sz w:val="20"/>
                <w:lang w:val="pt-PT"/>
              </w:rPr>
            </w:pPr>
            <w:r w:rsidRPr="0028372F">
              <w:rPr>
                <w:rFonts w:ascii="Ebrima" w:hAnsi="Ebrima"/>
                <w:spacing w:val="-2"/>
                <w:sz w:val="20"/>
                <w:lang w:val="pt-PT"/>
              </w:rPr>
              <w:t xml:space="preserve">Serviços de comércio por grosso, excepto contrato </w:t>
            </w:r>
            <w:r w:rsidRPr="0028372F">
              <w:rPr>
                <w:rFonts w:ascii="Ebrima" w:hAnsi="Ebrima" w:cs="Arial"/>
                <w:bCs/>
                <w:sz w:val="20"/>
                <w:szCs w:val="20"/>
                <w:lang w:val="pt-PT"/>
              </w:rPr>
              <w:t>(CPC 611)</w:t>
            </w:r>
          </w:p>
        </w:tc>
        <w:tc>
          <w:tcPr>
            <w:tcW w:w="3675" w:type="dxa"/>
          </w:tcPr>
          <w:p w14:paraId="407755BF" w14:textId="3AFC26A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3D2166AA" w14:textId="56B4D782"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456C5F46" w14:textId="458DE688"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4A5A82B7" w14:textId="651A0E7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4F9B5064" w14:textId="6010B150"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1467F54E" w14:textId="74B80472"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733A772B" w14:textId="6582DC75"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0D55705D" w14:textId="12871A63"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21C45702" w14:textId="21B0E3CD"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This corresponds to CPC Prov. 622 (wholesale trade services).  It also partly includes CPC 61111 (wholesale trade services of motor vehicles), 6113 and 6121 (parts and accessories).</w:t>
            </w:r>
          </w:p>
        </w:tc>
      </w:tr>
      <w:tr w:rsidR="0028372F" w:rsidRPr="0028372F" w14:paraId="213D03B2" w14:textId="77777777" w:rsidTr="00D24E20">
        <w:tc>
          <w:tcPr>
            <w:tcW w:w="3674" w:type="dxa"/>
          </w:tcPr>
          <w:p w14:paraId="1F2191DD" w14:textId="77777777" w:rsidR="0028372F" w:rsidRPr="0028372F" w:rsidRDefault="0028372F" w:rsidP="0028372F">
            <w:pPr>
              <w:pStyle w:val="ListParagraph"/>
              <w:spacing w:before="60" w:after="60"/>
              <w:ind w:left="357" w:hanging="357"/>
              <w:jc w:val="both"/>
              <w:rPr>
                <w:rFonts w:ascii="Ebrima" w:hAnsi="Ebrima" w:cs="Arial"/>
                <w:sz w:val="20"/>
                <w:szCs w:val="20"/>
                <w:lang w:val="pt-PT"/>
              </w:rPr>
            </w:pPr>
            <w:r w:rsidRPr="0028372F">
              <w:rPr>
                <w:rFonts w:ascii="Ebrima" w:hAnsi="Ebrima" w:cs="Arial"/>
                <w:sz w:val="20"/>
                <w:lang w:val="pt-PT"/>
              </w:rPr>
              <w:t>b.</w:t>
            </w:r>
            <w:r w:rsidRPr="0028372F">
              <w:rPr>
                <w:rFonts w:ascii="Ebrima" w:hAnsi="Ebrima" w:cs="Arial"/>
                <w:sz w:val="20"/>
                <w:lang w:val="pt-PT"/>
              </w:rPr>
              <w:tab/>
            </w:r>
            <w:r w:rsidRPr="0028372F">
              <w:rPr>
                <w:rFonts w:ascii="Ebrima" w:hAnsi="Ebrima"/>
                <w:spacing w:val="-2"/>
                <w:sz w:val="20"/>
                <w:lang w:val="pt-PT"/>
              </w:rPr>
              <w:t xml:space="preserve">Contrato e serviços por grosso personalizados </w:t>
            </w:r>
            <w:r w:rsidRPr="0028372F">
              <w:rPr>
                <w:rFonts w:ascii="Ebrima" w:hAnsi="Ebrima" w:cs="Arial"/>
                <w:bCs/>
                <w:sz w:val="20"/>
                <w:szCs w:val="20"/>
                <w:lang w:val="pt-PT"/>
              </w:rPr>
              <w:t>(CPC 612)</w:t>
            </w:r>
          </w:p>
          <w:p w14:paraId="7DA5ED89" w14:textId="77777777" w:rsidR="0028372F" w:rsidRPr="0028372F" w:rsidRDefault="0028372F" w:rsidP="0028372F">
            <w:pPr>
              <w:pStyle w:val="ListParagraph"/>
              <w:spacing w:before="60" w:after="60"/>
              <w:ind w:left="714" w:hanging="357"/>
              <w:jc w:val="both"/>
              <w:rPr>
                <w:rFonts w:ascii="Ebrima" w:hAnsi="Ebrima" w:cs="Arial"/>
                <w:sz w:val="20"/>
                <w:lang w:val="pt-PT"/>
              </w:rPr>
            </w:pPr>
          </w:p>
        </w:tc>
        <w:tc>
          <w:tcPr>
            <w:tcW w:w="3675" w:type="dxa"/>
          </w:tcPr>
          <w:p w14:paraId="61968CBD" w14:textId="6DF3DF7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67A2251F" w14:textId="383A193D"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5276F6C5" w14:textId="63BFFBFA"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38E5BB9C" w14:textId="3C5D9CD7"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605B138E" w14:textId="4927133F"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210A1E28" w14:textId="352F328C"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1C33A9C4" w14:textId="630D344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050497C1" w14:textId="12822A6A"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1C3E6889" w14:textId="6084D502"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This corresponds to CPC Prov. 621 (commission agents’ services) in respect of wholesale trade services.  It also partly includes CPC 61111 (commission agents’ trade services of motor vehicles), 6113 and 6121 (parts and accessories).</w:t>
            </w:r>
          </w:p>
        </w:tc>
      </w:tr>
      <w:tr w:rsidR="0048734F" w:rsidRPr="0028372F" w14:paraId="6FA8476A" w14:textId="77777777" w:rsidTr="00B3043D">
        <w:tc>
          <w:tcPr>
            <w:tcW w:w="14863" w:type="dxa"/>
            <w:gridSpan w:val="4"/>
          </w:tcPr>
          <w:p w14:paraId="3D729419" w14:textId="27C906A8" w:rsidR="0048734F" w:rsidRPr="0028372F" w:rsidRDefault="0028372F" w:rsidP="0048734F">
            <w:pPr>
              <w:pStyle w:val="ListParagraph"/>
              <w:numPr>
                <w:ilvl w:val="1"/>
                <w:numId w:val="37"/>
              </w:numPr>
              <w:spacing w:before="60" w:after="60"/>
              <w:ind w:left="357" w:hanging="357"/>
              <w:rPr>
                <w:rFonts w:ascii="Ebrima" w:hAnsi="Ebrima" w:cs="Arial"/>
                <w:b/>
                <w:bCs/>
                <w:sz w:val="20"/>
                <w:lang w:val="pt-PT"/>
              </w:rPr>
            </w:pPr>
            <w:r w:rsidRPr="0028372F">
              <w:rPr>
                <w:rFonts w:ascii="Ebrima" w:hAnsi="Ebrima" w:cs="Arial"/>
                <w:b/>
                <w:bCs/>
                <w:sz w:val="20"/>
                <w:lang w:val="pt-PT"/>
              </w:rPr>
              <w:t>Serviços de comércio a retalho</w:t>
            </w:r>
          </w:p>
        </w:tc>
      </w:tr>
      <w:tr w:rsidR="00BD55EB" w:rsidRPr="0028372F" w14:paraId="345FF8E4" w14:textId="77777777" w:rsidTr="00BD55EB">
        <w:tc>
          <w:tcPr>
            <w:tcW w:w="3674" w:type="dxa"/>
            <w:shd w:val="clear" w:color="auto" w:fill="D9D9D9" w:themeFill="background1" w:themeFillShade="D9"/>
          </w:tcPr>
          <w:p w14:paraId="21572EA1" w14:textId="77777777" w:rsidR="00BD55EB" w:rsidRPr="0028372F" w:rsidRDefault="00BD55EB" w:rsidP="00BD55EB">
            <w:pPr>
              <w:spacing w:before="60" w:after="60"/>
              <w:rPr>
                <w:rFonts w:ascii="Ebrima" w:hAnsi="Ebrima"/>
                <w:sz w:val="20"/>
                <w:lang w:val="pt-PT"/>
              </w:rPr>
            </w:pPr>
          </w:p>
        </w:tc>
        <w:tc>
          <w:tcPr>
            <w:tcW w:w="3675" w:type="dxa"/>
            <w:shd w:val="clear" w:color="auto" w:fill="D9D9D9" w:themeFill="background1" w:themeFillShade="D9"/>
          </w:tcPr>
          <w:p w14:paraId="28A49129" w14:textId="77777777" w:rsidR="00BD55EB" w:rsidRPr="0028372F" w:rsidRDefault="00BD55EB" w:rsidP="00BD55EB">
            <w:pPr>
              <w:tabs>
                <w:tab w:val="clear" w:pos="720"/>
              </w:tabs>
              <w:spacing w:before="60" w:after="60"/>
              <w:ind w:left="284" w:hanging="284"/>
              <w:rPr>
                <w:rFonts w:ascii="Ebrima" w:hAnsi="Ebrima" w:cs="Arial"/>
                <w:sz w:val="20"/>
                <w:lang w:val="pt-PT"/>
              </w:rPr>
            </w:pPr>
          </w:p>
        </w:tc>
        <w:tc>
          <w:tcPr>
            <w:tcW w:w="3675" w:type="dxa"/>
            <w:shd w:val="clear" w:color="auto" w:fill="D9D9D9" w:themeFill="background1" w:themeFillShade="D9"/>
          </w:tcPr>
          <w:p w14:paraId="4C618DFD" w14:textId="77777777" w:rsidR="00BD55EB" w:rsidRPr="0028372F" w:rsidRDefault="00BD55EB" w:rsidP="00BD55EB">
            <w:pPr>
              <w:tabs>
                <w:tab w:val="clear" w:pos="720"/>
              </w:tabs>
              <w:spacing w:before="60" w:after="60"/>
              <w:ind w:left="284" w:hanging="284"/>
              <w:rPr>
                <w:rFonts w:ascii="Ebrima" w:hAnsi="Ebrima" w:cs="Arial"/>
                <w:sz w:val="20"/>
                <w:lang w:val="pt-PT"/>
              </w:rPr>
            </w:pPr>
          </w:p>
        </w:tc>
        <w:tc>
          <w:tcPr>
            <w:tcW w:w="3839" w:type="dxa"/>
          </w:tcPr>
          <w:p w14:paraId="1C0D3689"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Esta secção é completamente diferente da CPC Prov. que se baseia em produtos de retalho.  As categorias incluídas em W/120 são</w:t>
            </w:r>
          </w:p>
          <w:p w14:paraId="41F1E96E"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CPC 631 - Serviços de retalho alimentar</w:t>
            </w:r>
          </w:p>
          <w:p w14:paraId="7894FB9F"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lastRenderedPageBreak/>
              <w:t>CPC 632 - Comércio a retalho não-alimentar</w:t>
            </w:r>
          </w:p>
          <w:p w14:paraId="0685FABA"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CPC 6111 - Venda de veículos automóveis</w:t>
            </w:r>
          </w:p>
          <w:p w14:paraId="5CF05DB4"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CPC 6113 - Venda de peças e acessórios para veículos automóveis</w:t>
            </w:r>
          </w:p>
          <w:p w14:paraId="0C479BB5"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CPC 6121 - Venda de motociclos e snowmobiles e respectivas peças e acessórios</w:t>
            </w:r>
          </w:p>
          <w:p w14:paraId="322D3603"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O CPC 2.1 baseia-se no tipo de estabelecimento, incluindo os serviços de venda a retalho não-livre.</w:t>
            </w:r>
          </w:p>
          <w:p w14:paraId="5590F04F" w14:textId="0B7DE0F8" w:rsidR="00066043"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Quaisquer limitações dizem principalmente respeito a produtos reservados a instalações. Estes produtos devem ser mencionados como exclusões na coluna do sector.</w:t>
            </w:r>
          </w:p>
        </w:tc>
      </w:tr>
      <w:tr w:rsidR="0028372F" w:rsidRPr="0028372F" w14:paraId="0D62780E" w14:textId="77777777" w:rsidTr="00B3043D">
        <w:tc>
          <w:tcPr>
            <w:tcW w:w="3674" w:type="dxa"/>
          </w:tcPr>
          <w:p w14:paraId="22338B74" w14:textId="3DFEFE2C" w:rsidR="0028372F" w:rsidRPr="0028372F" w:rsidRDefault="0028372F" w:rsidP="0028372F">
            <w:pPr>
              <w:pStyle w:val="ListParagraph"/>
              <w:numPr>
                <w:ilvl w:val="0"/>
                <w:numId w:val="40"/>
              </w:numPr>
              <w:spacing w:before="60" w:after="60"/>
              <w:ind w:left="357" w:hanging="357"/>
              <w:jc w:val="both"/>
              <w:rPr>
                <w:rFonts w:ascii="Arial" w:hAnsi="Arial" w:cs="Arial"/>
                <w:b/>
                <w:bCs/>
                <w:sz w:val="20"/>
                <w:lang w:val="pt-PT"/>
              </w:rPr>
            </w:pPr>
            <w:r w:rsidRPr="0028372F">
              <w:rPr>
                <w:rFonts w:ascii="Ebrima" w:hAnsi="Ebrima"/>
                <w:sz w:val="20"/>
                <w:lang w:val="pt-PT"/>
              </w:rPr>
              <w:lastRenderedPageBreak/>
              <w:t xml:space="preserve">Serviços de comércio a retalho em lojas não-especializadas </w:t>
            </w:r>
            <w:r w:rsidRPr="0028372F">
              <w:rPr>
                <w:rFonts w:ascii="Ebrima" w:hAnsi="Ebrima"/>
                <w:sz w:val="20"/>
                <w:szCs w:val="20"/>
                <w:lang w:val="pt-PT"/>
              </w:rPr>
              <w:t>(CPC 621)</w:t>
            </w:r>
          </w:p>
        </w:tc>
        <w:tc>
          <w:tcPr>
            <w:tcW w:w="3675" w:type="dxa"/>
          </w:tcPr>
          <w:p w14:paraId="0FB9FAF6" w14:textId="3421DE18"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6CDD6BFB" w14:textId="6F37DDA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05847A5E" w14:textId="7D3052DA"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2E79B42A" w14:textId="2B40A0B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161F228F" w14:textId="666D48F0"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437D8C0F" w14:textId="0DED65E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4272F98F" w14:textId="0917D5A0"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0E016CA1" w14:textId="688CEBDA"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39E9F6A3"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As lojas não-especialistas são lojas, tais como supermercados e grandes superfícies, que oferecem uma vasta gama de produtos, tanto novos como usados, expostos em prateleiras ou prateleiras para o cliente fazer a sua própria escolha e ir à caixa para efectuar o pagamento.</w:t>
            </w:r>
          </w:p>
          <w:p w14:paraId="67B106E5" w14:textId="5FA798B0"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lastRenderedPageBreak/>
              <w:t>Este subsector inclui a venda a retalho de bens abrangidos pelos CPC 631 e 632, e a venda a retalho de peças e acessórios para veículos automóveis abrangidos pelos CPC 6113 e 6121. Este tipo de loja é pouco provável de vender a retalho veículos automóveis, motociclos, etc. abrangidos pelos códigos 6111 e 6121.</w:t>
            </w:r>
          </w:p>
        </w:tc>
      </w:tr>
      <w:tr w:rsidR="0028372F" w:rsidRPr="0028372F" w14:paraId="527679BD" w14:textId="77777777" w:rsidTr="00B3043D">
        <w:tc>
          <w:tcPr>
            <w:tcW w:w="3674" w:type="dxa"/>
          </w:tcPr>
          <w:p w14:paraId="61B2ED78" w14:textId="44818E0A" w:rsidR="0028372F" w:rsidRPr="0028372F" w:rsidRDefault="0028372F" w:rsidP="0028372F">
            <w:pPr>
              <w:pStyle w:val="ListParagraph"/>
              <w:numPr>
                <w:ilvl w:val="0"/>
                <w:numId w:val="40"/>
              </w:numPr>
              <w:spacing w:before="60" w:after="60"/>
              <w:ind w:left="357" w:hanging="357"/>
              <w:jc w:val="both"/>
              <w:rPr>
                <w:rFonts w:ascii="Ebrima" w:hAnsi="Ebrima" w:cs="Arial"/>
                <w:sz w:val="20"/>
                <w:lang w:val="pt-PT"/>
              </w:rPr>
            </w:pPr>
            <w:r w:rsidRPr="0028372F">
              <w:rPr>
                <w:rFonts w:ascii="Ebrima" w:hAnsi="Ebrima"/>
                <w:sz w:val="20"/>
                <w:lang w:val="pt-PT"/>
              </w:rPr>
              <w:lastRenderedPageBreak/>
              <w:t xml:space="preserve">Serviços de comércio a retalho em lojas especializadas </w:t>
            </w:r>
            <w:r w:rsidRPr="0028372F">
              <w:rPr>
                <w:rFonts w:ascii="Ebrima" w:hAnsi="Ebrima"/>
                <w:sz w:val="20"/>
                <w:szCs w:val="20"/>
                <w:lang w:val="pt-PT"/>
              </w:rPr>
              <w:t>(CPC 622)</w:t>
            </w:r>
          </w:p>
        </w:tc>
        <w:tc>
          <w:tcPr>
            <w:tcW w:w="3675" w:type="dxa"/>
          </w:tcPr>
          <w:p w14:paraId="631259BE" w14:textId="11218FDA"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5209B19A" w14:textId="22BE36EF"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58EF4A25" w14:textId="2F83AA4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284CEDAF" w14:textId="35055613"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5F69E546" w14:textId="343860B1"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7C8DA33D" w14:textId="0BF7E277"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60BC622E" w14:textId="049EB7C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2A472B4A" w14:textId="0036C35B"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0D603AE9"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As lojas especializadas são lojas que oferecem uma gama estreita de produtos novos ou usados e onde o apoio ao cliente é frequentemente fornecido pelo pessoal de vendas ou pelo proprietário da loja.</w:t>
            </w:r>
          </w:p>
          <w:p w14:paraId="07549220" w14:textId="3FC0B36B"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As lojas deste subsector podem potencialmente vender a retalho qualquer produto abrangido pelos CPC 631 e 632, 6111, 6113 e 6121.</w:t>
            </w:r>
          </w:p>
        </w:tc>
      </w:tr>
      <w:tr w:rsidR="0028372F" w:rsidRPr="0028372F" w14:paraId="373FDD62" w14:textId="77777777" w:rsidTr="00B3043D">
        <w:tc>
          <w:tcPr>
            <w:tcW w:w="3674" w:type="dxa"/>
          </w:tcPr>
          <w:p w14:paraId="4B965153" w14:textId="7383F655" w:rsidR="0028372F" w:rsidRPr="0028372F" w:rsidRDefault="0028372F" w:rsidP="0028372F">
            <w:pPr>
              <w:pStyle w:val="ListParagraph"/>
              <w:numPr>
                <w:ilvl w:val="0"/>
                <w:numId w:val="40"/>
              </w:numPr>
              <w:spacing w:before="60" w:after="60"/>
              <w:ind w:left="357" w:hanging="357"/>
              <w:jc w:val="both"/>
              <w:rPr>
                <w:rFonts w:ascii="Ebrima" w:hAnsi="Ebrima" w:cs="Arial"/>
                <w:sz w:val="20"/>
                <w:lang w:val="pt-PT"/>
              </w:rPr>
            </w:pPr>
            <w:r w:rsidRPr="0028372F">
              <w:rPr>
                <w:rFonts w:ascii="Ebrima" w:hAnsi="Ebrima"/>
                <w:sz w:val="20"/>
                <w:lang w:val="pt-PT"/>
              </w:rPr>
              <w:t xml:space="preserve">Venda por correspondência ou serviços de venda a retalho pela Internet </w:t>
            </w:r>
            <w:r w:rsidRPr="0028372F">
              <w:rPr>
                <w:rFonts w:ascii="Ebrima" w:hAnsi="Ebrima"/>
                <w:sz w:val="20"/>
                <w:szCs w:val="20"/>
                <w:lang w:val="pt-PT"/>
              </w:rPr>
              <w:t>(CPC 623)</w:t>
            </w:r>
          </w:p>
        </w:tc>
        <w:tc>
          <w:tcPr>
            <w:tcW w:w="3675" w:type="dxa"/>
          </w:tcPr>
          <w:p w14:paraId="079C55B0" w14:textId="185F6FF5"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139002A7" w14:textId="3E983C5A"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16C27F9C" w14:textId="28050D91"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60BAAAB4" w14:textId="7276C1FD"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0CF15833" w14:textId="706CA751"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21D15759" w14:textId="3F55BED0"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7710BB5C" w14:textId="49934111"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74339527" w14:textId="1312B739"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1C60EB68"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Este subsector inclui encomendas por correio, catálogos ou serviços de venda pela Internet de lojas que aceitam encomendas de novos produtos por correio, telefone, e-mail, etc. e enviam ou entregam os produtos à porta do cliente.</w:t>
            </w:r>
          </w:p>
          <w:p w14:paraId="79EDEA3B" w14:textId="4D33AD20"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lastRenderedPageBreak/>
              <w:t>Este subsector poderia potencialmente incluir a venda a retalho de qualquer produto abrangido pelas Prov. CPC 631 e 632, 6111, 6113 e 6121.</w:t>
            </w:r>
          </w:p>
        </w:tc>
      </w:tr>
      <w:tr w:rsidR="0028372F" w:rsidRPr="0028372F" w14:paraId="5C406547" w14:textId="77777777" w:rsidTr="00B3043D">
        <w:tc>
          <w:tcPr>
            <w:tcW w:w="3674" w:type="dxa"/>
          </w:tcPr>
          <w:p w14:paraId="426946EB" w14:textId="6B8CEA96" w:rsidR="0028372F" w:rsidRPr="0028372F" w:rsidRDefault="0028372F" w:rsidP="0028372F">
            <w:pPr>
              <w:pStyle w:val="ListParagraph"/>
              <w:numPr>
                <w:ilvl w:val="0"/>
                <w:numId w:val="40"/>
              </w:numPr>
              <w:spacing w:before="60" w:after="60"/>
              <w:ind w:left="357" w:hanging="357"/>
              <w:jc w:val="both"/>
              <w:rPr>
                <w:rFonts w:ascii="Ebrima" w:hAnsi="Ebrima" w:cs="Arial"/>
                <w:sz w:val="20"/>
                <w:lang w:val="pt-PT"/>
              </w:rPr>
            </w:pPr>
            <w:r w:rsidRPr="0028372F">
              <w:rPr>
                <w:rFonts w:ascii="Ebrima" w:hAnsi="Ebrima"/>
                <w:sz w:val="20"/>
                <w:lang w:val="pt-PT"/>
              </w:rPr>
              <w:lastRenderedPageBreak/>
              <w:t xml:space="preserve">Outros serviços de comércio a retalho não-livre </w:t>
            </w:r>
            <w:r w:rsidRPr="0028372F">
              <w:rPr>
                <w:rFonts w:ascii="Ebrima" w:hAnsi="Ebrima"/>
                <w:sz w:val="20"/>
                <w:szCs w:val="20"/>
                <w:lang w:val="pt-PT"/>
              </w:rPr>
              <w:t>(CPC 624)</w:t>
            </w:r>
          </w:p>
        </w:tc>
        <w:tc>
          <w:tcPr>
            <w:tcW w:w="3675" w:type="dxa"/>
          </w:tcPr>
          <w:p w14:paraId="23ED1653" w14:textId="359508E8"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597E2825" w14:textId="1DF98238"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57D703E8" w14:textId="5356A67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5BD29011" w14:textId="6E2DA1D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028BED64" w14:textId="431360BD"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4D1EBB51" w14:textId="2EE6EE5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2F04EFCA" w14:textId="2595FFCC"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37EDCF31" w14:textId="7A7C1A75"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69BB4596"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 xml:space="preserve">Este subsector inclui </w:t>
            </w:r>
          </w:p>
          <w:p w14:paraId="50697211"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 venda a retalho através de máquinas de venda automática</w:t>
            </w:r>
          </w:p>
          <w:p w14:paraId="7849E990"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 serviços de retalho em bancas de mercado</w:t>
            </w:r>
          </w:p>
          <w:p w14:paraId="46922F06"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 serviços de venda porta-a-porta ou venda directa a retalho.</w:t>
            </w:r>
          </w:p>
          <w:p w14:paraId="39325DAC" w14:textId="7122E0CE"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Este subsector inclui a venda a retalho de bens sob CPC Prov. 631 e 632, e de peças e acessórios de veículos automóveis sob CPC Prov. 6113 e 6121. É pouco provável que este tipo de retalhista venda veículos automóveis, motociclos, etc., sob as rubricas 6111 e 6121.</w:t>
            </w:r>
          </w:p>
        </w:tc>
      </w:tr>
      <w:tr w:rsidR="0028372F" w:rsidRPr="0028372F" w14:paraId="41F86FC2" w14:textId="77777777" w:rsidTr="00B3043D">
        <w:tc>
          <w:tcPr>
            <w:tcW w:w="3674" w:type="dxa"/>
          </w:tcPr>
          <w:p w14:paraId="57B81FD9" w14:textId="4739DC47" w:rsidR="0028372F" w:rsidRPr="0028372F" w:rsidRDefault="0028372F" w:rsidP="0028372F">
            <w:pPr>
              <w:pStyle w:val="ListParagraph"/>
              <w:spacing w:before="60" w:after="60"/>
              <w:ind w:left="357" w:hanging="357"/>
              <w:jc w:val="both"/>
              <w:rPr>
                <w:rFonts w:ascii="Ebrima" w:hAnsi="Ebrima" w:cs="Arial"/>
                <w:sz w:val="20"/>
                <w:lang w:val="pt-PT"/>
              </w:rPr>
            </w:pPr>
            <w:r w:rsidRPr="0028372F">
              <w:rPr>
                <w:rFonts w:ascii="Ebrima" w:hAnsi="Ebrima" w:cs="Arial"/>
                <w:sz w:val="20"/>
                <w:lang w:val="pt-PT"/>
              </w:rPr>
              <w:t xml:space="preserve">e. </w:t>
            </w:r>
            <w:r w:rsidRPr="0028372F">
              <w:rPr>
                <w:rFonts w:ascii="Ebrima" w:hAnsi="Ebrima" w:cs="Arial"/>
                <w:sz w:val="20"/>
                <w:lang w:val="pt-PT"/>
              </w:rPr>
              <w:tab/>
            </w:r>
            <w:r w:rsidRPr="0028372F">
              <w:rPr>
                <w:rFonts w:ascii="Ebrima" w:hAnsi="Ebrima"/>
                <w:spacing w:val="-2"/>
                <w:sz w:val="20"/>
                <w:lang w:val="pt-PT"/>
              </w:rPr>
              <w:t xml:space="preserve">Serviços de venda a retalho por contrato </w:t>
            </w:r>
            <w:r w:rsidRPr="0028372F">
              <w:rPr>
                <w:rFonts w:ascii="Ebrima" w:hAnsi="Ebrima" w:cs="Arial"/>
                <w:bCs/>
                <w:sz w:val="20"/>
                <w:szCs w:val="20"/>
                <w:lang w:val="pt-PT"/>
              </w:rPr>
              <w:t>(CPC 625)</w:t>
            </w:r>
          </w:p>
        </w:tc>
        <w:tc>
          <w:tcPr>
            <w:tcW w:w="3675" w:type="dxa"/>
          </w:tcPr>
          <w:p w14:paraId="0808B28A" w14:textId="6BCD5E5D"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50B6204A" w14:textId="54154AF4"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76018DA6" w14:textId="47C292D7"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4DAAB1DB" w14:textId="2A490F29"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675" w:type="dxa"/>
          </w:tcPr>
          <w:p w14:paraId="12A7CDB0" w14:textId="198D6318"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Pr>
                <w:rFonts w:ascii="Ebrima" w:hAnsi="Ebrima" w:cs="Arial"/>
                <w:sz w:val="20"/>
                <w:lang w:val="pt-PT"/>
              </w:rPr>
              <w:t>Nenhuma</w:t>
            </w:r>
          </w:p>
          <w:p w14:paraId="4A8A9EC5" w14:textId="2B55FBD8"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Pr>
                <w:rFonts w:ascii="Ebrima" w:hAnsi="Ebrima" w:cs="Arial"/>
                <w:sz w:val="20"/>
                <w:lang w:val="pt-PT"/>
              </w:rPr>
              <w:t>Nenhuma</w:t>
            </w:r>
          </w:p>
          <w:p w14:paraId="42F9D07F" w14:textId="75D53CCF"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Pr>
                <w:rFonts w:ascii="Ebrima" w:hAnsi="Ebrima" w:cs="Arial"/>
                <w:sz w:val="20"/>
                <w:lang w:val="pt-PT"/>
              </w:rPr>
              <w:t>Nenhuma</w:t>
            </w:r>
          </w:p>
          <w:p w14:paraId="2875F939" w14:textId="14A0C896" w:rsidR="0028372F" w:rsidRPr="0028372F" w:rsidRDefault="0028372F" w:rsidP="0028372F">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Pr>
                <w:rFonts w:ascii="Ebrima" w:hAnsi="Ebrima" w:cs="Arial"/>
                <w:sz w:val="20"/>
                <w:lang w:val="pt-PT"/>
              </w:rPr>
              <w:t>Não consolidado, excepto pelo indicado na secção horizontal</w:t>
            </w:r>
          </w:p>
        </w:tc>
        <w:tc>
          <w:tcPr>
            <w:tcW w:w="3839" w:type="dxa"/>
          </w:tcPr>
          <w:p w14:paraId="50E6D14E" w14:textId="2C4E08D5"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 xml:space="preserve">Isto corresponde ao CPC Prov. 621 (serviços de comissionistas) no que diz respeito aos serviços de comércio a retalho.  </w:t>
            </w:r>
          </w:p>
        </w:tc>
      </w:tr>
      <w:tr w:rsidR="00E81A8E" w:rsidRPr="0028372F" w14:paraId="35F4F54C" w14:textId="77777777" w:rsidTr="001B2392">
        <w:tc>
          <w:tcPr>
            <w:tcW w:w="14863" w:type="dxa"/>
            <w:gridSpan w:val="4"/>
          </w:tcPr>
          <w:p w14:paraId="6206B259" w14:textId="0CE5DDF6" w:rsidR="00E81A8E" w:rsidRPr="0028372F" w:rsidRDefault="0028372F" w:rsidP="00E81A8E">
            <w:pPr>
              <w:pStyle w:val="ListParagraph"/>
              <w:numPr>
                <w:ilvl w:val="1"/>
                <w:numId w:val="37"/>
              </w:numPr>
              <w:spacing w:before="60" w:after="60"/>
              <w:ind w:left="357" w:hanging="357"/>
              <w:rPr>
                <w:rFonts w:ascii="Ebrima" w:hAnsi="Ebrima" w:cs="Arial"/>
                <w:b/>
                <w:bCs/>
                <w:sz w:val="20"/>
                <w:lang w:val="pt-PT"/>
              </w:rPr>
            </w:pPr>
            <w:r w:rsidRPr="0028372F">
              <w:rPr>
                <w:rFonts w:ascii="Ebrima" w:hAnsi="Ebrima" w:cs="Arial"/>
                <w:b/>
                <w:bCs/>
                <w:sz w:val="20"/>
                <w:lang w:val="pt-PT"/>
              </w:rPr>
              <w:lastRenderedPageBreak/>
              <w:t>Serviços de franquia</w:t>
            </w:r>
          </w:p>
        </w:tc>
      </w:tr>
      <w:tr w:rsidR="008E3252" w:rsidRPr="0028372F" w14:paraId="63C37F09" w14:textId="77777777" w:rsidTr="00B3043D">
        <w:tc>
          <w:tcPr>
            <w:tcW w:w="3674" w:type="dxa"/>
          </w:tcPr>
          <w:p w14:paraId="35B8B927" w14:textId="2C032206" w:rsidR="008E3252" w:rsidRPr="0028372F" w:rsidRDefault="00D806D6" w:rsidP="008E3252">
            <w:pPr>
              <w:pStyle w:val="ListParagraph"/>
              <w:spacing w:before="60" w:after="60"/>
              <w:ind w:left="357" w:hanging="357"/>
              <w:jc w:val="both"/>
              <w:rPr>
                <w:rFonts w:ascii="Ebrima" w:hAnsi="Ebrima" w:cs="Arial"/>
                <w:sz w:val="20"/>
                <w:szCs w:val="20"/>
                <w:lang w:val="pt-PT"/>
              </w:rPr>
            </w:pPr>
            <w:r w:rsidRPr="0028372F">
              <w:rPr>
                <w:rFonts w:ascii="Ebrima" w:hAnsi="Ebrima" w:cs="Arial"/>
                <w:sz w:val="20"/>
                <w:szCs w:val="20"/>
                <w:lang w:val="pt-PT"/>
              </w:rPr>
              <w:tab/>
            </w:r>
            <w:r w:rsidR="0028372F" w:rsidRPr="0028372F">
              <w:rPr>
                <w:rFonts w:ascii="Ebrima" w:hAnsi="Ebrima" w:cs="Arial"/>
                <w:sz w:val="20"/>
                <w:szCs w:val="20"/>
                <w:lang w:val="pt-PT"/>
              </w:rPr>
              <w:t xml:space="preserve">Serviços de </w:t>
            </w:r>
            <w:r w:rsidR="0028372F" w:rsidRPr="0028372F">
              <w:rPr>
                <w:rFonts w:ascii="Ebrima" w:hAnsi="Ebrima"/>
                <w:spacing w:val="-2"/>
                <w:sz w:val="20"/>
                <w:lang w:val="pt-PT"/>
              </w:rPr>
              <w:t xml:space="preserve">franquia </w:t>
            </w:r>
            <w:r w:rsidR="0028372F" w:rsidRPr="0028372F">
              <w:rPr>
                <w:rFonts w:ascii="Ebrima" w:hAnsi="Ebrima" w:cs="Arial"/>
                <w:sz w:val="20"/>
                <w:szCs w:val="20"/>
                <w:lang w:val="pt-PT"/>
              </w:rPr>
              <w:t>(CPC Prov. 8929)</w:t>
            </w:r>
          </w:p>
        </w:tc>
        <w:tc>
          <w:tcPr>
            <w:tcW w:w="3675" w:type="dxa"/>
          </w:tcPr>
          <w:p w14:paraId="0AA3EBA8" w14:textId="37961958"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sidR="0028372F">
              <w:rPr>
                <w:rFonts w:ascii="Ebrima" w:hAnsi="Ebrima" w:cs="Arial"/>
                <w:sz w:val="20"/>
                <w:lang w:val="pt-PT"/>
              </w:rPr>
              <w:t>Nenhuma</w:t>
            </w:r>
          </w:p>
          <w:p w14:paraId="4D944161" w14:textId="697188F8"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sidR="0028372F">
              <w:rPr>
                <w:rFonts w:ascii="Ebrima" w:hAnsi="Ebrima" w:cs="Arial"/>
                <w:sz w:val="20"/>
                <w:lang w:val="pt-PT"/>
              </w:rPr>
              <w:t>Nenhuma</w:t>
            </w:r>
          </w:p>
          <w:p w14:paraId="4B9D0CAA" w14:textId="7FE8B87F"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sidR="0028372F">
              <w:rPr>
                <w:rFonts w:ascii="Ebrima" w:hAnsi="Ebrima" w:cs="Arial"/>
                <w:sz w:val="20"/>
                <w:lang w:val="pt-PT"/>
              </w:rPr>
              <w:t>Nenhuma</w:t>
            </w:r>
          </w:p>
          <w:p w14:paraId="62FBBB35" w14:textId="50ED95D6"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sidR="0028372F">
              <w:rPr>
                <w:rFonts w:ascii="Ebrima" w:hAnsi="Ebrima" w:cs="Arial"/>
                <w:sz w:val="20"/>
                <w:lang w:val="pt-PT"/>
              </w:rPr>
              <w:t>Não consolidado, excepto pelo indicado na secção horizontal</w:t>
            </w:r>
          </w:p>
        </w:tc>
        <w:tc>
          <w:tcPr>
            <w:tcW w:w="3675" w:type="dxa"/>
          </w:tcPr>
          <w:p w14:paraId="6E49DE35" w14:textId="3C1E5FB2"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1)</w:t>
            </w:r>
            <w:r w:rsidRPr="0028372F">
              <w:rPr>
                <w:rFonts w:ascii="Ebrima" w:hAnsi="Ebrima" w:cs="Arial"/>
                <w:sz w:val="20"/>
                <w:lang w:val="pt-PT"/>
              </w:rPr>
              <w:tab/>
            </w:r>
            <w:r w:rsidR="0028372F">
              <w:rPr>
                <w:rFonts w:ascii="Ebrima" w:hAnsi="Ebrima" w:cs="Arial"/>
                <w:sz w:val="20"/>
                <w:lang w:val="pt-PT"/>
              </w:rPr>
              <w:t>Nenhuma</w:t>
            </w:r>
          </w:p>
          <w:p w14:paraId="22DE7E0F" w14:textId="56C31263"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2)</w:t>
            </w:r>
            <w:r w:rsidRPr="0028372F">
              <w:rPr>
                <w:rFonts w:ascii="Ebrima" w:hAnsi="Ebrima" w:cs="Arial"/>
                <w:sz w:val="20"/>
                <w:lang w:val="pt-PT"/>
              </w:rPr>
              <w:tab/>
            </w:r>
            <w:r w:rsidR="0028372F">
              <w:rPr>
                <w:rFonts w:ascii="Ebrima" w:hAnsi="Ebrima" w:cs="Arial"/>
                <w:sz w:val="20"/>
                <w:lang w:val="pt-PT"/>
              </w:rPr>
              <w:t>Nenhuma</w:t>
            </w:r>
          </w:p>
          <w:p w14:paraId="4C96C104" w14:textId="2595783F"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3)</w:t>
            </w:r>
            <w:r w:rsidRPr="0028372F">
              <w:rPr>
                <w:rFonts w:ascii="Ebrima" w:hAnsi="Ebrima" w:cs="Arial"/>
                <w:sz w:val="20"/>
                <w:lang w:val="pt-PT"/>
              </w:rPr>
              <w:tab/>
            </w:r>
            <w:r w:rsidR="0028372F">
              <w:rPr>
                <w:rFonts w:ascii="Ebrima" w:hAnsi="Ebrima" w:cs="Arial"/>
                <w:sz w:val="20"/>
                <w:lang w:val="pt-PT"/>
              </w:rPr>
              <w:t>Nenhuma</w:t>
            </w:r>
          </w:p>
          <w:p w14:paraId="4E779FCD" w14:textId="45A75659" w:rsidR="008E3252" w:rsidRPr="0028372F" w:rsidRDefault="008E3252" w:rsidP="008E3252">
            <w:pPr>
              <w:tabs>
                <w:tab w:val="clear" w:pos="720"/>
              </w:tabs>
              <w:spacing w:before="60" w:after="60"/>
              <w:ind w:left="284" w:hanging="284"/>
              <w:rPr>
                <w:rFonts w:ascii="Ebrima" w:hAnsi="Ebrima" w:cs="Arial"/>
                <w:sz w:val="20"/>
                <w:lang w:val="pt-PT"/>
              </w:rPr>
            </w:pPr>
            <w:r w:rsidRPr="0028372F">
              <w:rPr>
                <w:rFonts w:ascii="Ebrima" w:hAnsi="Ebrima" w:cs="Arial"/>
                <w:sz w:val="20"/>
                <w:lang w:val="pt-PT"/>
              </w:rPr>
              <w:t>4)</w:t>
            </w:r>
            <w:r w:rsidRPr="0028372F">
              <w:rPr>
                <w:rFonts w:ascii="Ebrima" w:hAnsi="Ebrima" w:cs="Arial"/>
                <w:sz w:val="20"/>
                <w:lang w:val="pt-PT"/>
              </w:rPr>
              <w:tab/>
            </w:r>
            <w:r w:rsidR="0028372F">
              <w:rPr>
                <w:rFonts w:ascii="Ebrima" w:hAnsi="Ebrima" w:cs="Arial"/>
                <w:sz w:val="20"/>
                <w:lang w:val="pt-PT"/>
              </w:rPr>
              <w:t>Não consolidado, excepto pelo indicado na secção horizontal</w:t>
            </w:r>
          </w:p>
        </w:tc>
        <w:tc>
          <w:tcPr>
            <w:tcW w:w="3839" w:type="dxa"/>
          </w:tcPr>
          <w:p w14:paraId="4766F407"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O franquia enquanto tal não está incluído no CPC 2.1.  O código mais próximo é CPC 73340* (Serviços de licenciamento para o direito de uso de marcas e franquias).</w:t>
            </w:r>
          </w:p>
          <w:p w14:paraId="53AC855C"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O CPC Prov. como indicado em W/120 cobre-o sob CPC 8929 (outros activos intangíveis não financeiros).  Por conseguinte, seria lógico incluir uma referência à CPC Prov. para este serviço.</w:t>
            </w:r>
          </w:p>
          <w:p w14:paraId="1C850BF1" w14:textId="77777777" w:rsidR="0028372F"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Uma franquia de distribuição é um acordo pelo qual um franqueador dá a um franqueado o direito de distribuir ou vender um produto específico em seu nome num determinado território. Neste contexto, o franqueado torna-se o distribuidor exclusivo ou semi-exclusivo do produto do franqueador.</w:t>
            </w:r>
          </w:p>
          <w:p w14:paraId="0120D622" w14:textId="3727D725" w:rsidR="00B02395" w:rsidRPr="0028372F" w:rsidRDefault="0028372F" w:rsidP="0028372F">
            <w:pPr>
              <w:spacing w:before="60" w:after="60"/>
              <w:rPr>
                <w:rFonts w:ascii="Ebrima" w:hAnsi="Ebrima" w:cs="Arial"/>
                <w:b/>
                <w:bCs/>
                <w:sz w:val="20"/>
                <w:lang w:val="pt-PT"/>
              </w:rPr>
            </w:pPr>
            <w:r w:rsidRPr="0028372F">
              <w:rPr>
                <w:rFonts w:ascii="Ebrima" w:hAnsi="Ebrima" w:cs="Arial"/>
                <w:b/>
                <w:bCs/>
                <w:sz w:val="20"/>
                <w:lang w:val="pt-PT"/>
              </w:rPr>
              <w:t xml:space="preserve">Dadas as especificidades das leis de franchising, seria lógico manter este tipo de serviço nos horários separadamente dos serviços por grosso e a retalho, com as limitações </w:t>
            </w:r>
            <w:r w:rsidRPr="0028372F">
              <w:rPr>
                <w:rFonts w:ascii="Ebrima" w:hAnsi="Ebrima" w:cs="Arial"/>
                <w:b/>
                <w:bCs/>
                <w:sz w:val="20"/>
                <w:lang w:val="pt-PT"/>
              </w:rPr>
              <w:lastRenderedPageBreak/>
              <w:t>aplicáveis definidas nos horários nacionais de compromissos.</w:t>
            </w:r>
          </w:p>
        </w:tc>
      </w:tr>
      <w:tr w:rsidR="008E3252" w:rsidRPr="0028372F" w14:paraId="0626FF73" w14:textId="77777777" w:rsidTr="00B3043D">
        <w:tc>
          <w:tcPr>
            <w:tcW w:w="3674" w:type="dxa"/>
          </w:tcPr>
          <w:p w14:paraId="5DED6E4F" w14:textId="2F6677B7" w:rsidR="008E3252" w:rsidRPr="0028372F" w:rsidRDefault="008E3252" w:rsidP="008E3252">
            <w:pPr>
              <w:pStyle w:val="ListParagraph"/>
              <w:spacing w:before="60" w:after="60"/>
              <w:ind w:left="357" w:hanging="357"/>
              <w:jc w:val="both"/>
              <w:rPr>
                <w:rFonts w:ascii="Ebrima" w:hAnsi="Ebrima" w:cs="Arial"/>
                <w:sz w:val="20"/>
                <w:szCs w:val="20"/>
                <w:lang w:val="pt-PT"/>
              </w:rPr>
            </w:pPr>
            <w:r w:rsidRPr="0028372F">
              <w:rPr>
                <w:rFonts w:ascii="Ebrima" w:hAnsi="Ebrima" w:cs="Arial"/>
                <w:sz w:val="20"/>
                <w:szCs w:val="20"/>
                <w:lang w:val="pt-PT"/>
              </w:rPr>
              <w:lastRenderedPageBreak/>
              <w:t>E.</w:t>
            </w:r>
            <w:r w:rsidRPr="0028372F">
              <w:rPr>
                <w:rFonts w:ascii="Ebrima" w:hAnsi="Ebrima" w:cs="Arial"/>
                <w:sz w:val="20"/>
                <w:szCs w:val="20"/>
                <w:lang w:val="pt-PT"/>
              </w:rPr>
              <w:tab/>
            </w:r>
            <w:r w:rsidR="0028372F" w:rsidRPr="0028372F">
              <w:rPr>
                <w:rFonts w:ascii="Ebrima" w:hAnsi="Ebrima" w:cs="Arial"/>
                <w:sz w:val="20"/>
                <w:szCs w:val="20"/>
                <w:lang w:val="pt-PT"/>
              </w:rPr>
              <w:t>Outros serviços</w:t>
            </w:r>
          </w:p>
        </w:tc>
        <w:tc>
          <w:tcPr>
            <w:tcW w:w="3675" w:type="dxa"/>
          </w:tcPr>
          <w:p w14:paraId="13CB6AA4" w14:textId="21F81992" w:rsidR="008E3252" w:rsidRPr="0028372F" w:rsidRDefault="008E3252" w:rsidP="008E3252">
            <w:pPr>
              <w:tabs>
                <w:tab w:val="clear" w:pos="720"/>
              </w:tabs>
              <w:spacing w:before="60" w:after="60"/>
              <w:ind w:left="284" w:hanging="284"/>
              <w:rPr>
                <w:rFonts w:ascii="Ebrima" w:hAnsi="Ebrima" w:cs="Arial"/>
                <w:sz w:val="20"/>
                <w:lang w:val="pt-PT"/>
              </w:rPr>
            </w:pPr>
          </w:p>
        </w:tc>
        <w:tc>
          <w:tcPr>
            <w:tcW w:w="3675" w:type="dxa"/>
          </w:tcPr>
          <w:p w14:paraId="76B1D89D" w14:textId="2DF16D3A" w:rsidR="008E3252" w:rsidRPr="0028372F" w:rsidRDefault="008E3252" w:rsidP="008E3252">
            <w:pPr>
              <w:tabs>
                <w:tab w:val="clear" w:pos="720"/>
              </w:tabs>
              <w:spacing w:before="60" w:after="60"/>
              <w:ind w:left="284" w:hanging="284"/>
              <w:rPr>
                <w:rFonts w:ascii="Ebrima" w:hAnsi="Ebrima" w:cs="Arial"/>
                <w:sz w:val="20"/>
                <w:lang w:val="pt-PT"/>
              </w:rPr>
            </w:pPr>
          </w:p>
        </w:tc>
        <w:tc>
          <w:tcPr>
            <w:tcW w:w="3839" w:type="dxa"/>
          </w:tcPr>
          <w:p w14:paraId="1FCFE8E9" w14:textId="5F9E781A" w:rsidR="008E3252" w:rsidRPr="0028372F" w:rsidRDefault="008E3252" w:rsidP="00D806D6">
            <w:pPr>
              <w:spacing w:before="60" w:after="60"/>
              <w:rPr>
                <w:rFonts w:ascii="Ebrima" w:hAnsi="Ebrima" w:cs="Arial"/>
                <w:b/>
                <w:bCs/>
                <w:sz w:val="20"/>
                <w:lang w:val="pt-PT"/>
              </w:rPr>
            </w:pPr>
          </w:p>
        </w:tc>
      </w:tr>
    </w:tbl>
    <w:p w14:paraId="19D0F01A" w14:textId="77777777" w:rsidR="009A6419" w:rsidRPr="0028372F" w:rsidRDefault="00000000">
      <w:pPr>
        <w:rPr>
          <w:lang w:val="pt-PT"/>
        </w:rPr>
      </w:pPr>
    </w:p>
    <w:sectPr w:rsidR="009A6419" w:rsidRPr="0028372F" w:rsidSect="00004FD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81CD" w14:textId="77777777" w:rsidR="00982732" w:rsidRDefault="00982732" w:rsidP="00004FD3">
      <w:r>
        <w:separator/>
      </w:r>
    </w:p>
  </w:endnote>
  <w:endnote w:type="continuationSeparator" w:id="0">
    <w:p w14:paraId="7F43BE2F" w14:textId="77777777" w:rsidR="00982732" w:rsidRDefault="00982732" w:rsidP="000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12F3" w14:textId="77777777" w:rsidR="00F72989" w:rsidRDefault="00F7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3E6C" w14:textId="77777777" w:rsidR="00F72989" w:rsidRDefault="00F7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9617" w14:textId="77777777" w:rsidR="00F72989" w:rsidRDefault="00F7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47EC" w14:textId="77777777" w:rsidR="00982732" w:rsidRDefault="00982732" w:rsidP="00004FD3">
      <w:r>
        <w:separator/>
      </w:r>
    </w:p>
  </w:footnote>
  <w:footnote w:type="continuationSeparator" w:id="0">
    <w:p w14:paraId="690D54FF" w14:textId="77777777" w:rsidR="00982732" w:rsidRDefault="00982732" w:rsidP="000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59AA" w14:textId="77777777" w:rsidR="00F72989" w:rsidRDefault="00F72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6142" w14:textId="736D791C" w:rsidR="00004FD3" w:rsidRPr="002406D0" w:rsidRDefault="00004FD3" w:rsidP="00004FD3">
    <w:pPr>
      <w:pStyle w:val="Header"/>
      <w:tabs>
        <w:tab w:val="left" w:pos="5160"/>
      </w:tabs>
      <w:spacing w:before="60" w:after="60"/>
      <w:rPr>
        <w:rFonts w:ascii="Arial" w:hAnsi="Arial" w:cs="Arial"/>
        <w:b/>
        <w:bCs/>
        <w:iCs/>
        <w:sz w:val="23"/>
        <w:szCs w:val="23"/>
      </w:rPr>
    </w:pPr>
    <w:r w:rsidRPr="00D82519">
      <w:rPr>
        <w:rFonts w:ascii="Arial" w:hAnsi="Arial" w:cs="Arial"/>
        <w:b/>
        <w:bCs/>
        <w:iCs/>
        <w:sz w:val="23"/>
        <w:szCs w:val="23"/>
      </w:rPr>
      <w:t>SADC/</w:t>
    </w:r>
    <w:r>
      <w:rPr>
        <w:rFonts w:ascii="Arial" w:hAnsi="Arial" w:cs="Arial"/>
        <w:b/>
        <w:bCs/>
        <w:iCs/>
        <w:sz w:val="23"/>
        <w:szCs w:val="23"/>
      </w:rPr>
      <w:t>LC</w:t>
    </w:r>
    <w:r w:rsidRPr="00D82519">
      <w:rPr>
        <w:rFonts w:ascii="Arial" w:hAnsi="Arial" w:cs="Arial"/>
        <w:b/>
        <w:bCs/>
        <w:iCs/>
        <w:sz w:val="23"/>
        <w:szCs w:val="23"/>
      </w:rPr>
      <w:t>/</w:t>
    </w:r>
    <w:r>
      <w:rPr>
        <w:rFonts w:ascii="Arial" w:hAnsi="Arial" w:cs="Arial"/>
        <w:b/>
        <w:bCs/>
        <w:iCs/>
        <w:sz w:val="23"/>
        <w:szCs w:val="23"/>
      </w:rPr>
      <w:t>2R</w:t>
    </w:r>
    <w:r w:rsidR="00F72989">
      <w:rPr>
        <w:rFonts w:ascii="Arial" w:hAnsi="Arial" w:cs="Arial"/>
        <w:b/>
        <w:bCs/>
        <w:iCs/>
        <w:sz w:val="23"/>
        <w:szCs w:val="23"/>
      </w:rPr>
      <w:t>/Dis</w:t>
    </w:r>
  </w:p>
  <w:p w14:paraId="43E31D22" w14:textId="77777777" w:rsidR="00004FD3" w:rsidRDefault="00004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4ED5" w14:textId="77777777" w:rsidR="00F72989" w:rsidRDefault="00F72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19"/>
    <w:multiLevelType w:val="hybridMultilevel"/>
    <w:tmpl w:val="57B665C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07641"/>
    <w:multiLevelType w:val="hybridMultilevel"/>
    <w:tmpl w:val="803876BE"/>
    <w:lvl w:ilvl="0" w:tplc="797063BA">
      <w:start w:val="4"/>
      <w:numFmt w:val="decimal"/>
      <w:lvlText w:val="%1)"/>
      <w:lvlJc w:val="left"/>
      <w:pPr>
        <w:ind w:left="720" w:hanging="360"/>
      </w:pPr>
      <w:rPr>
        <w:rFonts w:hint="default"/>
      </w:rPr>
    </w:lvl>
    <w:lvl w:ilvl="1" w:tplc="D1D6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8E"/>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153E28C9"/>
    <w:multiLevelType w:val="hybridMultilevel"/>
    <w:tmpl w:val="6792B2A2"/>
    <w:lvl w:ilvl="0" w:tplc="7970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EB2"/>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2340"/>
    <w:multiLevelType w:val="hybridMultilevel"/>
    <w:tmpl w:val="F1B428A8"/>
    <w:lvl w:ilvl="0" w:tplc="A3881F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77347"/>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44143"/>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E09C3"/>
    <w:multiLevelType w:val="hybridMultilevel"/>
    <w:tmpl w:val="3B60369E"/>
    <w:lvl w:ilvl="0" w:tplc="915A90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D5FCE"/>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E17"/>
    <w:multiLevelType w:val="hybridMultilevel"/>
    <w:tmpl w:val="5BAEB7FA"/>
    <w:lvl w:ilvl="0" w:tplc="D570B0AC">
      <w:start w:val="11"/>
      <w:numFmt w:val="decimal"/>
      <w:lvlText w:val="%1."/>
      <w:lvlJc w:val="left"/>
      <w:pPr>
        <w:ind w:left="720" w:hanging="360"/>
      </w:pPr>
      <w:rPr>
        <w:rFonts w:hint="default"/>
        <w:b/>
      </w:rPr>
    </w:lvl>
    <w:lvl w:ilvl="1" w:tplc="A6AC89CA">
      <w:start w:val="3"/>
      <w:numFmt w:val="upperLetter"/>
      <w:lvlText w:val="%2."/>
      <w:lvlJc w:val="left"/>
      <w:pPr>
        <w:ind w:left="1440" w:hanging="360"/>
      </w:pPr>
      <w:rPr>
        <w:rFonts w:hint="default"/>
        <w:b w:val="0"/>
      </w:rPr>
    </w:lvl>
    <w:lvl w:ilvl="2" w:tplc="48204E92">
      <w:start w:val="2"/>
      <w:numFmt w:val="upperLetter"/>
      <w:lvlText w:val="%3)"/>
      <w:lvlJc w:val="left"/>
      <w:pPr>
        <w:ind w:left="2340"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5EC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4CDD"/>
    <w:multiLevelType w:val="hybridMultilevel"/>
    <w:tmpl w:val="D974F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A4288"/>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2E6E65F5"/>
    <w:multiLevelType w:val="hybridMultilevel"/>
    <w:tmpl w:val="7CFC5A9E"/>
    <w:lvl w:ilvl="0" w:tplc="81D668E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9219A"/>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C3E91"/>
    <w:multiLevelType w:val="hybridMultilevel"/>
    <w:tmpl w:val="A5F2A25C"/>
    <w:lvl w:ilvl="0" w:tplc="AD7E45EE">
      <w:start w:val="4"/>
      <w:numFmt w:val="decimal"/>
      <w:lvlText w:val="%1."/>
      <w:lvlJc w:val="left"/>
      <w:pPr>
        <w:ind w:left="360" w:hanging="360"/>
      </w:pPr>
      <w:rPr>
        <w:rFonts w:hint="default"/>
      </w:r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C1706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2274B"/>
    <w:multiLevelType w:val="multilevel"/>
    <w:tmpl w:val="A2262AFA"/>
    <w:lvl w:ilvl="0">
      <w:start w:val="2"/>
      <w:numFmt w:val="upperLetter"/>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43CC32B6"/>
    <w:multiLevelType w:val="hybridMultilevel"/>
    <w:tmpl w:val="7E34FFD4"/>
    <w:lvl w:ilvl="0" w:tplc="DAD8485E">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15:restartNumberingAfterBreak="0">
    <w:nsid w:val="48494E2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05E63"/>
    <w:multiLevelType w:val="hybridMultilevel"/>
    <w:tmpl w:val="7FCE910E"/>
    <w:lvl w:ilvl="0" w:tplc="8AEAB2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70849"/>
    <w:multiLevelType w:val="hybridMultilevel"/>
    <w:tmpl w:val="C8784012"/>
    <w:lvl w:ilvl="0" w:tplc="825ECBCC">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27C0C"/>
    <w:multiLevelType w:val="hybridMultilevel"/>
    <w:tmpl w:val="90440172"/>
    <w:lvl w:ilvl="0" w:tplc="E98AF20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F58B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E695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17A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E42AA"/>
    <w:multiLevelType w:val="hybridMultilevel"/>
    <w:tmpl w:val="5226E51E"/>
    <w:lvl w:ilvl="0" w:tplc="65EEF98A">
      <w:start w:val="1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23D6F"/>
    <w:multiLevelType w:val="hybridMultilevel"/>
    <w:tmpl w:val="0BC85C10"/>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26D3D"/>
    <w:multiLevelType w:val="hybridMultilevel"/>
    <w:tmpl w:val="AEEE6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0060C"/>
    <w:multiLevelType w:val="hybridMultilevel"/>
    <w:tmpl w:val="AE5C8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6391A"/>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0033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17A31"/>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72AE0"/>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019A5"/>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30236"/>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823F0"/>
    <w:multiLevelType w:val="hybridMultilevel"/>
    <w:tmpl w:val="4BF6A76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26B08B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5F1A"/>
    <w:multiLevelType w:val="hybridMultilevel"/>
    <w:tmpl w:val="D340BEDE"/>
    <w:lvl w:ilvl="0" w:tplc="65EEF9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5CB0"/>
    <w:multiLevelType w:val="hybridMultilevel"/>
    <w:tmpl w:val="AC5001E0"/>
    <w:lvl w:ilvl="0" w:tplc="59B03242">
      <w:start w:val="1"/>
      <w:numFmt w:val="lowerLetter"/>
      <w:lvlText w:val="%1."/>
      <w:lvlJc w:val="left"/>
      <w:pPr>
        <w:ind w:left="720" w:hanging="360"/>
      </w:pPr>
      <w:rPr>
        <w:rFonts w:ascii="Ebrima" w:hAnsi="Ebrim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A1248"/>
    <w:multiLevelType w:val="hybridMultilevel"/>
    <w:tmpl w:val="0D0262C4"/>
    <w:lvl w:ilvl="0" w:tplc="26B08B5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244FF"/>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2708"/>
    <w:multiLevelType w:val="hybridMultilevel"/>
    <w:tmpl w:val="8F727AD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450136">
    <w:abstractNumId w:val="1"/>
  </w:num>
  <w:num w:numId="2" w16cid:durableId="1802989457">
    <w:abstractNumId w:val="3"/>
  </w:num>
  <w:num w:numId="3" w16cid:durableId="1411464818">
    <w:abstractNumId w:val="37"/>
  </w:num>
  <w:num w:numId="4" w16cid:durableId="1580600485">
    <w:abstractNumId w:val="8"/>
  </w:num>
  <w:num w:numId="5" w16cid:durableId="1077438713">
    <w:abstractNumId w:val="18"/>
  </w:num>
  <w:num w:numId="6" w16cid:durableId="1950041285">
    <w:abstractNumId w:val="24"/>
  </w:num>
  <w:num w:numId="7" w16cid:durableId="5207238">
    <w:abstractNumId w:val="41"/>
  </w:num>
  <w:num w:numId="8" w16cid:durableId="592787077">
    <w:abstractNumId w:val="38"/>
  </w:num>
  <w:num w:numId="9" w16cid:durableId="1097868858">
    <w:abstractNumId w:val="7"/>
  </w:num>
  <w:num w:numId="10" w16cid:durableId="926309072">
    <w:abstractNumId w:val="31"/>
  </w:num>
  <w:num w:numId="11" w16cid:durableId="500046425">
    <w:abstractNumId w:val="20"/>
  </w:num>
  <w:num w:numId="12" w16cid:durableId="151140839">
    <w:abstractNumId w:val="6"/>
  </w:num>
  <w:num w:numId="13" w16cid:durableId="90322709">
    <w:abstractNumId w:val="21"/>
  </w:num>
  <w:num w:numId="14" w16cid:durableId="1572544350">
    <w:abstractNumId w:val="13"/>
  </w:num>
  <w:num w:numId="15" w16cid:durableId="178466834">
    <w:abstractNumId w:val="2"/>
  </w:num>
  <w:num w:numId="16" w16cid:durableId="1586452299">
    <w:abstractNumId w:val="40"/>
  </w:num>
  <w:num w:numId="17" w16cid:durableId="285350383">
    <w:abstractNumId w:val="10"/>
  </w:num>
  <w:num w:numId="18" w16cid:durableId="391464855">
    <w:abstractNumId w:val="15"/>
  </w:num>
  <w:num w:numId="19" w16cid:durableId="637951866">
    <w:abstractNumId w:val="28"/>
  </w:num>
  <w:num w:numId="20" w16cid:durableId="360401542">
    <w:abstractNumId w:val="4"/>
  </w:num>
  <w:num w:numId="21" w16cid:durableId="975797714">
    <w:abstractNumId w:val="35"/>
  </w:num>
  <w:num w:numId="22" w16cid:durableId="1040545058">
    <w:abstractNumId w:val="36"/>
  </w:num>
  <w:num w:numId="23" w16cid:durableId="1967196390">
    <w:abstractNumId w:val="14"/>
  </w:num>
  <w:num w:numId="24" w16cid:durableId="2146459873">
    <w:abstractNumId w:val="29"/>
  </w:num>
  <w:num w:numId="25" w16cid:durableId="1924027262">
    <w:abstractNumId w:val="9"/>
  </w:num>
  <w:num w:numId="26" w16cid:durableId="1288731308">
    <w:abstractNumId w:val="17"/>
  </w:num>
  <w:num w:numId="27" w16cid:durableId="1933850568">
    <w:abstractNumId w:val="26"/>
  </w:num>
  <w:num w:numId="28" w16cid:durableId="944077657">
    <w:abstractNumId w:val="23"/>
  </w:num>
  <w:num w:numId="29" w16cid:durableId="1545680300">
    <w:abstractNumId w:val="11"/>
  </w:num>
  <w:num w:numId="30" w16cid:durableId="1407460901">
    <w:abstractNumId w:val="42"/>
  </w:num>
  <w:num w:numId="31" w16cid:durableId="264197512">
    <w:abstractNumId w:val="5"/>
  </w:num>
  <w:num w:numId="32" w16cid:durableId="9071722">
    <w:abstractNumId w:val="19"/>
  </w:num>
  <w:num w:numId="33" w16cid:durableId="1601988858">
    <w:abstractNumId w:val="32"/>
  </w:num>
  <w:num w:numId="34" w16cid:durableId="274362791">
    <w:abstractNumId w:val="33"/>
  </w:num>
  <w:num w:numId="35" w16cid:durableId="1482308233">
    <w:abstractNumId w:val="34"/>
  </w:num>
  <w:num w:numId="36" w16cid:durableId="1629582067">
    <w:abstractNumId w:val="25"/>
  </w:num>
  <w:num w:numId="37" w16cid:durableId="1841698123">
    <w:abstractNumId w:val="16"/>
  </w:num>
  <w:num w:numId="38" w16cid:durableId="1293243739">
    <w:abstractNumId w:val="27"/>
  </w:num>
  <w:num w:numId="39" w16cid:durableId="617372433">
    <w:abstractNumId w:val="30"/>
  </w:num>
  <w:num w:numId="40" w16cid:durableId="2097238504">
    <w:abstractNumId w:val="39"/>
  </w:num>
  <w:num w:numId="41" w16cid:durableId="671761788">
    <w:abstractNumId w:val="12"/>
  </w:num>
  <w:num w:numId="42" w16cid:durableId="114523139">
    <w:abstractNumId w:val="22"/>
  </w:num>
  <w:num w:numId="43" w16cid:durableId="102382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D3"/>
    <w:rsid w:val="00004FD3"/>
    <w:rsid w:val="00025615"/>
    <w:rsid w:val="00066043"/>
    <w:rsid w:val="000D1413"/>
    <w:rsid w:val="001726F5"/>
    <w:rsid w:val="001F3E11"/>
    <w:rsid w:val="002323E8"/>
    <w:rsid w:val="0028372F"/>
    <w:rsid w:val="00360DA3"/>
    <w:rsid w:val="003D50AA"/>
    <w:rsid w:val="004208F3"/>
    <w:rsid w:val="00465E46"/>
    <w:rsid w:val="004822F0"/>
    <w:rsid w:val="0048734F"/>
    <w:rsid w:val="005E1E32"/>
    <w:rsid w:val="007050C9"/>
    <w:rsid w:val="007129FF"/>
    <w:rsid w:val="007274A2"/>
    <w:rsid w:val="007B154C"/>
    <w:rsid w:val="00856C7A"/>
    <w:rsid w:val="008E3252"/>
    <w:rsid w:val="00982732"/>
    <w:rsid w:val="00B02395"/>
    <w:rsid w:val="00B3043D"/>
    <w:rsid w:val="00B50DB1"/>
    <w:rsid w:val="00B64A64"/>
    <w:rsid w:val="00BD55EB"/>
    <w:rsid w:val="00C043C3"/>
    <w:rsid w:val="00C15AE6"/>
    <w:rsid w:val="00CA1F4C"/>
    <w:rsid w:val="00CF1900"/>
    <w:rsid w:val="00CF42A5"/>
    <w:rsid w:val="00D25F2E"/>
    <w:rsid w:val="00D6128A"/>
    <w:rsid w:val="00D741EC"/>
    <w:rsid w:val="00D806D6"/>
    <w:rsid w:val="00E30297"/>
    <w:rsid w:val="00E46119"/>
    <w:rsid w:val="00E81A8E"/>
    <w:rsid w:val="00E96F19"/>
    <w:rsid w:val="00E97117"/>
    <w:rsid w:val="00F617F0"/>
    <w:rsid w:val="00F71168"/>
    <w:rsid w:val="00F72989"/>
    <w:rsid w:val="00FA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988"/>
  <w15:chartTrackingRefBased/>
  <w15:docId w15:val="{5D617548-F4AE-4020-8616-D3EA75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8E"/>
    <w:pPr>
      <w:tabs>
        <w:tab w:val="left" w:pos="720"/>
      </w:tabs>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D3"/>
    <w:pPr>
      <w:tabs>
        <w:tab w:val="clear" w:pos="720"/>
      </w:tabs>
      <w:spacing w:after="200" w:line="276" w:lineRule="auto"/>
      <w:ind w:left="720"/>
      <w:jc w:val="left"/>
    </w:pPr>
    <w:rPr>
      <w:rFonts w:ascii="Calibri" w:eastAsia="Calibri" w:hAnsi="Calibri" w:cs="Calibri"/>
      <w:szCs w:val="22"/>
      <w:lang w:val="en-US" w:eastAsia="en-US"/>
    </w:rPr>
  </w:style>
  <w:style w:type="table" w:styleId="TableGrid">
    <w:name w:val="Table Grid"/>
    <w:basedOn w:val="TableNormal"/>
    <w:uiPriority w:val="39"/>
    <w:rsid w:val="0000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1"/>
    <w:rsid w:val="00004FD3"/>
    <w:rPr>
      <w:vertAlign w:val="superscript"/>
    </w:rPr>
  </w:style>
  <w:style w:type="paragraph" w:styleId="FootnoteText">
    <w:name w:val="footnote text"/>
    <w:basedOn w:val="Normal"/>
    <w:link w:val="FootnoteTextChar"/>
    <w:uiPriority w:val="1"/>
    <w:rsid w:val="00004FD3"/>
    <w:pPr>
      <w:ind w:firstLine="720"/>
    </w:pPr>
  </w:style>
  <w:style w:type="character" w:customStyle="1" w:styleId="FootnoteTextChar">
    <w:name w:val="Footnote Text Char"/>
    <w:basedOn w:val="DefaultParagraphFont"/>
    <w:link w:val="FootnoteText"/>
    <w:uiPriority w:val="1"/>
    <w:rsid w:val="00004FD3"/>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004FD3"/>
    <w:pPr>
      <w:tabs>
        <w:tab w:val="clear" w:pos="720"/>
        <w:tab w:val="center" w:pos="4513"/>
        <w:tab w:val="right" w:pos="9026"/>
      </w:tabs>
    </w:pPr>
  </w:style>
  <w:style w:type="character" w:customStyle="1" w:styleId="HeaderChar">
    <w:name w:val="Header Char"/>
    <w:basedOn w:val="DefaultParagraphFont"/>
    <w:link w:val="Header"/>
    <w:uiPriority w:val="99"/>
    <w:rsid w:val="00004FD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004FD3"/>
    <w:pPr>
      <w:tabs>
        <w:tab w:val="clear" w:pos="720"/>
        <w:tab w:val="center" w:pos="4513"/>
        <w:tab w:val="right" w:pos="9026"/>
      </w:tabs>
    </w:pPr>
  </w:style>
  <w:style w:type="character" w:customStyle="1" w:styleId="FooterChar">
    <w:name w:val="Footer Char"/>
    <w:basedOn w:val="DefaultParagraphFont"/>
    <w:link w:val="Footer"/>
    <w:uiPriority w:val="99"/>
    <w:rsid w:val="00004FD3"/>
    <w:rPr>
      <w:rFonts w:ascii="Times New Roman" w:eastAsia="Times New Roman" w:hAnsi="Times New Roman" w:cs="Times New Roman"/>
      <w:szCs w:val="20"/>
      <w:lang w:eastAsia="en-GB"/>
    </w:rPr>
  </w:style>
  <w:style w:type="character" w:customStyle="1" w:styleId="fontstyle01">
    <w:name w:val="fontstyle01"/>
    <w:basedOn w:val="DefaultParagraphFont"/>
    <w:rsid w:val="00004FD3"/>
    <w:rPr>
      <w:rFonts w:ascii="TimesNewRoman" w:hAnsi="TimesNew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AA3C-D3BB-483D-891F-D5754FDE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McKinnon</dc:creator>
  <cp:keywords/>
  <dc:description/>
  <cp:lastModifiedBy>McKinnon, Malcolm</cp:lastModifiedBy>
  <cp:revision>2</cp:revision>
  <dcterms:created xsi:type="dcterms:W3CDTF">2023-04-21T14:18:00Z</dcterms:created>
  <dcterms:modified xsi:type="dcterms:W3CDTF">2023-04-21T14:18:00Z</dcterms:modified>
</cp:coreProperties>
</file>