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004FD3" w:rsidRPr="001139C0" w14:paraId="6248958D" w14:textId="77777777" w:rsidTr="001A547F">
        <w:trPr>
          <w:tblHeader/>
        </w:trPr>
        <w:tc>
          <w:tcPr>
            <w:tcW w:w="14863" w:type="dxa"/>
            <w:gridSpan w:val="4"/>
            <w:vAlign w:val="center"/>
          </w:tcPr>
          <w:p w14:paraId="47D21A52" w14:textId="513433E8" w:rsidR="00004FD3" w:rsidRPr="001139C0" w:rsidRDefault="00502C74" w:rsidP="001B2392">
            <w:pPr>
              <w:spacing w:before="60" w:after="60"/>
              <w:rPr>
                <w:rFonts w:ascii="Ebrima" w:hAnsi="Ebrima" w:cs="Arial"/>
                <w:b/>
                <w:sz w:val="20"/>
                <w:lang w:val="pt-PT"/>
              </w:rPr>
            </w:pPr>
            <w:r w:rsidRPr="001139C0">
              <w:rPr>
                <w:rFonts w:ascii="Ebrima" w:hAnsi="Ebrima"/>
                <w:b/>
                <w:sz w:val="20"/>
                <w:lang w:val="pt-PT"/>
              </w:rPr>
              <w:t>Modo de prestação:</w:t>
            </w:r>
            <w:r w:rsidRPr="001139C0">
              <w:rPr>
                <w:b/>
                <w:sz w:val="16"/>
                <w:szCs w:val="16"/>
                <w:lang w:val="pt-PT"/>
              </w:rPr>
              <w:t xml:space="preserve"> </w:t>
            </w:r>
            <w:r w:rsidRPr="001139C0">
              <w:rPr>
                <w:b/>
                <w:sz w:val="16"/>
                <w:szCs w:val="16"/>
                <w:lang w:val="pt-PT"/>
              </w:rPr>
              <w:tab/>
            </w:r>
            <w:r w:rsidRPr="001139C0">
              <w:rPr>
                <w:rFonts w:ascii="Ebrima" w:hAnsi="Ebrima"/>
                <w:b/>
                <w:sz w:val="20"/>
                <w:lang w:val="pt-PT"/>
              </w:rPr>
              <w:t xml:space="preserve"> (1)  Prestação transfronteiriça</w:t>
            </w:r>
            <w:r w:rsidRPr="001139C0">
              <w:rPr>
                <w:b/>
                <w:sz w:val="16"/>
                <w:szCs w:val="16"/>
                <w:lang w:val="pt-PT"/>
              </w:rPr>
              <w:tab/>
            </w:r>
            <w:r w:rsidRPr="001139C0">
              <w:rPr>
                <w:rFonts w:ascii="Ebrima" w:hAnsi="Ebrima"/>
                <w:b/>
                <w:sz w:val="20"/>
                <w:lang w:val="pt-PT"/>
              </w:rPr>
              <w:t xml:space="preserve"> (2)  Consumo no estrangeiro </w:t>
            </w:r>
            <w:r w:rsidRPr="001139C0">
              <w:rPr>
                <w:b/>
                <w:sz w:val="16"/>
                <w:szCs w:val="16"/>
                <w:lang w:val="pt-PT"/>
              </w:rPr>
              <w:tab/>
            </w:r>
            <w:r w:rsidRPr="001139C0">
              <w:rPr>
                <w:rFonts w:ascii="Ebrima" w:hAnsi="Ebrima"/>
                <w:b/>
                <w:sz w:val="20"/>
                <w:lang w:val="pt-PT"/>
              </w:rPr>
              <w:t xml:space="preserve"> (3) Presença Comercial</w:t>
            </w:r>
            <w:r w:rsidRPr="001139C0">
              <w:rPr>
                <w:b/>
                <w:sz w:val="16"/>
                <w:szCs w:val="16"/>
                <w:lang w:val="pt-PT"/>
              </w:rPr>
              <w:tab/>
            </w:r>
            <w:r w:rsidRPr="001139C0">
              <w:rPr>
                <w:rFonts w:ascii="Ebrima" w:hAnsi="Ebrima"/>
                <w:b/>
                <w:sz w:val="20"/>
                <w:lang w:val="pt-PT"/>
              </w:rPr>
              <w:t xml:space="preserve"> (4)  Presença de pessoa singular</w:t>
            </w:r>
          </w:p>
        </w:tc>
      </w:tr>
      <w:tr w:rsidR="00502C74" w:rsidRPr="001139C0" w14:paraId="3A531EB5" w14:textId="77777777" w:rsidTr="001A547F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1FFF6D74" w:rsidR="00502C74" w:rsidRPr="001139C0" w:rsidRDefault="00502C74" w:rsidP="00502C74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1139C0">
              <w:rPr>
                <w:rFonts w:ascii="Ebrima" w:hAnsi="Ebrima"/>
                <w:b/>
                <w:sz w:val="20"/>
                <w:lang w:val="pt-PT"/>
              </w:rPr>
              <w:t>Sectores e subsectores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71227B64" w14:textId="758E4E87" w:rsidR="00502C74" w:rsidRPr="001139C0" w:rsidRDefault="00502C74" w:rsidP="00502C74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1139C0">
              <w:rPr>
                <w:rFonts w:ascii="Ebrima" w:hAnsi="Ebrima"/>
                <w:b/>
                <w:sz w:val="20"/>
                <w:lang w:val="pt-PT"/>
              </w:rPr>
              <w:t>Limitações no Acesso ao Mercado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52E49F8B" w14:textId="7319712F" w:rsidR="00502C74" w:rsidRPr="001139C0" w:rsidRDefault="00502C74" w:rsidP="00502C74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1139C0">
              <w:rPr>
                <w:rFonts w:ascii="Ebrima" w:hAnsi="Ebrima"/>
                <w:b/>
                <w:sz w:val="20"/>
                <w:lang w:val="pt-PT"/>
              </w:rPr>
              <w:t>Limitações no Tratamento Nacional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4973CF41" w14:textId="77777777" w:rsidR="00502C74" w:rsidRPr="003232EC" w:rsidRDefault="00502C74" w:rsidP="00502C74">
            <w:pPr>
              <w:spacing w:before="60" w:after="60"/>
              <w:jc w:val="center"/>
              <w:rPr>
                <w:rFonts w:ascii="Ebrima" w:hAnsi="Ebrima" w:cs="Arial"/>
                <w:b/>
                <w:bCs/>
                <w:sz w:val="20"/>
                <w:u w:val="single"/>
                <w:lang w:val="pt-PT"/>
              </w:rPr>
            </w:pPr>
            <w:r w:rsidRPr="003232EC">
              <w:rPr>
                <w:rFonts w:ascii="Ebrima" w:hAnsi="Ebrima" w:cs="Arial"/>
                <w:b/>
                <w:bCs/>
                <w:sz w:val="20"/>
                <w:u w:val="single"/>
                <w:lang w:val="pt-PT"/>
              </w:rPr>
              <w:t>Notas da secretaria para agendamento</w:t>
            </w:r>
          </w:p>
          <w:p w14:paraId="747B5404" w14:textId="7AE2CAAC" w:rsidR="00502C74" w:rsidRPr="001139C0" w:rsidRDefault="00502C74" w:rsidP="00502C74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3232EC">
              <w:rPr>
                <w:rFonts w:ascii="Ebrima" w:hAnsi="Ebrima" w:cs="Arial"/>
                <w:b/>
                <w:bCs/>
                <w:sz w:val="20"/>
                <w:lang w:val="pt-PT"/>
              </w:rPr>
              <w:t>(Nota: Esta coluna seria substituída por “Compromissos Adicionais” no formato final</w:t>
            </w: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t>)</w:t>
            </w:r>
          </w:p>
        </w:tc>
      </w:tr>
      <w:tr w:rsidR="00004FD3" w:rsidRPr="001139C0" w14:paraId="6E30881E" w14:textId="77777777" w:rsidTr="001A547F">
        <w:tc>
          <w:tcPr>
            <w:tcW w:w="14863" w:type="dxa"/>
            <w:gridSpan w:val="4"/>
          </w:tcPr>
          <w:p w14:paraId="21CDC5F8" w14:textId="3973D040" w:rsidR="00004FD3" w:rsidRPr="001139C0" w:rsidRDefault="00004FD3" w:rsidP="004208F3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spacing w:val="-2"/>
                <w:sz w:val="20"/>
                <w:lang w:val="pt-PT"/>
              </w:rPr>
              <w:t xml:space="preserve">II. </w:t>
            </w:r>
            <w:r w:rsidRPr="001139C0">
              <w:rPr>
                <w:rFonts w:ascii="Ebrima" w:hAnsi="Ebrima" w:cs="Arial"/>
                <w:b/>
                <w:spacing w:val="-2"/>
                <w:sz w:val="20"/>
                <w:lang w:val="pt-PT"/>
              </w:rPr>
              <w:tab/>
            </w:r>
            <w:r w:rsidR="00502C74" w:rsidRPr="001139C0">
              <w:rPr>
                <w:rFonts w:ascii="Ebrima" w:hAnsi="Ebrima"/>
                <w:b/>
                <w:sz w:val="20"/>
                <w:lang w:val="pt-PT"/>
              </w:rPr>
              <w:t>COMPROMISSOS DE SECTORES ESPECÍFICOS</w:t>
            </w:r>
          </w:p>
        </w:tc>
      </w:tr>
      <w:tr w:rsidR="00004FD3" w:rsidRPr="001139C0" w14:paraId="5836344C" w14:textId="77777777" w:rsidTr="001A547F">
        <w:tc>
          <w:tcPr>
            <w:tcW w:w="14863" w:type="dxa"/>
            <w:gridSpan w:val="4"/>
          </w:tcPr>
          <w:p w14:paraId="56E2DC9C" w14:textId="271CD937" w:rsidR="00004FD3" w:rsidRPr="001139C0" w:rsidRDefault="00535698" w:rsidP="00970E70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="Ebrima" w:hAnsi="Ebrima" w:cs="Arial"/>
                <w:b/>
                <w:sz w:val="20"/>
                <w:szCs w:val="20"/>
                <w:lang w:val="pt-PT"/>
              </w:rPr>
            </w:pPr>
            <w:r w:rsidRPr="001139C0">
              <w:rPr>
                <w:rFonts w:ascii="Ebrima" w:hAnsi="Ebrima" w:cs="Arial"/>
                <w:b/>
                <w:sz w:val="20"/>
                <w:szCs w:val="20"/>
                <w:lang w:val="pt-PT"/>
              </w:rPr>
              <w:t>SERVIÇOS EDUCACIONAIS</w:t>
            </w:r>
          </w:p>
        </w:tc>
      </w:tr>
      <w:tr w:rsidR="001139C0" w:rsidRPr="001139C0" w14:paraId="763A299E" w14:textId="77777777" w:rsidTr="001A547F">
        <w:tc>
          <w:tcPr>
            <w:tcW w:w="3674" w:type="dxa"/>
          </w:tcPr>
          <w:p w14:paraId="60469CA7" w14:textId="2290D4EA" w:rsidR="001139C0" w:rsidRPr="001139C0" w:rsidRDefault="001139C0" w:rsidP="001139C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>A.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1139C0">
              <w:rPr>
                <w:rFonts w:ascii="Ebrima" w:hAnsi="Ebrima"/>
                <w:spacing w:val="-2"/>
                <w:sz w:val="20"/>
                <w:lang w:val="pt-PT"/>
              </w:rPr>
              <w:t xml:space="preserve">Serviços de ensino pré-primário 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>(CPC 921)</w:t>
            </w:r>
          </w:p>
        </w:tc>
        <w:tc>
          <w:tcPr>
            <w:tcW w:w="3675" w:type="dxa"/>
          </w:tcPr>
          <w:p w14:paraId="0FF4A889" w14:textId="7A187D1B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7F23888" w14:textId="2DC8D78F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26F8C0D" w14:textId="2C4A76F3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C5CB5F9" w14:textId="384D7E1A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3BBDF6D6" w14:textId="128D2E23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1B34072" w14:textId="3B5F2E6D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4BBFA94" w14:textId="7DADB381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A88DD34" w14:textId="5A98A55A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1A9C254E" w14:textId="77777777" w:rsidR="001139C0" w:rsidRPr="001139C0" w:rsidRDefault="001139C0" w:rsidP="001139C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t>Este subsector é abrangido pela CPC Prov. 9211.  Quaisquer compromissos existentes que abranjam todo o CPC Prov. 921 devem ser incluídos aqui.</w:t>
            </w:r>
          </w:p>
          <w:p w14:paraId="7F9AF1C6" w14:textId="734FF3C1" w:rsidR="001139C0" w:rsidRPr="001139C0" w:rsidRDefault="001139C0" w:rsidP="001139C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t>Este subsector não inclui os serviços de cuidados infantis (ver em serviços de saúde e sociais).</w:t>
            </w:r>
          </w:p>
        </w:tc>
      </w:tr>
      <w:tr w:rsidR="001139C0" w:rsidRPr="001139C0" w14:paraId="6BF33314" w14:textId="77777777" w:rsidTr="001A547F">
        <w:tc>
          <w:tcPr>
            <w:tcW w:w="3674" w:type="dxa"/>
          </w:tcPr>
          <w:p w14:paraId="32229A87" w14:textId="53A0171C" w:rsidR="001139C0" w:rsidRPr="001139C0" w:rsidRDefault="001139C0" w:rsidP="001139C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>B.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1139C0">
              <w:rPr>
                <w:rFonts w:ascii="Ebrima" w:hAnsi="Ebrima"/>
                <w:spacing w:val="-2"/>
                <w:sz w:val="20"/>
                <w:lang w:val="pt-PT"/>
              </w:rPr>
              <w:t xml:space="preserve">Serviços de Ensino Primário 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>(CPC 922)</w:t>
            </w:r>
          </w:p>
        </w:tc>
        <w:tc>
          <w:tcPr>
            <w:tcW w:w="3675" w:type="dxa"/>
          </w:tcPr>
          <w:p w14:paraId="748EEC94" w14:textId="388D7A2A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A16EB2B" w14:textId="2764FA5F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C489EC5" w14:textId="750AB02C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8FFD6B7" w14:textId="4DF863B9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29DCFA95" w14:textId="731F0ADE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D85E047" w14:textId="1D002914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3F9B579" w14:textId="42EF94AE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DB3A6D8" w14:textId="73A3EC93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401475AD" w14:textId="0E69091C" w:rsidR="001139C0" w:rsidRPr="001139C0" w:rsidRDefault="001139C0" w:rsidP="001139C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t>Este subsector é abrangido pela CPC Prov. 9219.  Quaisquer compromissos existentes que abranjam todo o CPC Prov. 921 devem ser incluídos aqui.</w:t>
            </w:r>
          </w:p>
        </w:tc>
      </w:tr>
      <w:tr w:rsidR="001139C0" w:rsidRPr="001139C0" w14:paraId="3EFDB83A" w14:textId="77777777" w:rsidTr="001A547F">
        <w:tc>
          <w:tcPr>
            <w:tcW w:w="3674" w:type="dxa"/>
          </w:tcPr>
          <w:p w14:paraId="36700B03" w14:textId="7988BD35" w:rsidR="001139C0" w:rsidRPr="001139C0" w:rsidRDefault="001139C0" w:rsidP="001139C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>C.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1139C0">
              <w:rPr>
                <w:rFonts w:ascii="Ebrima" w:hAnsi="Ebrima"/>
                <w:spacing w:val="-2"/>
                <w:sz w:val="20"/>
                <w:lang w:val="pt-PT"/>
              </w:rPr>
              <w:t xml:space="preserve">Serviços de Ensino Secundário 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>(CPC 923)</w:t>
            </w:r>
          </w:p>
        </w:tc>
        <w:tc>
          <w:tcPr>
            <w:tcW w:w="3675" w:type="dxa"/>
          </w:tcPr>
          <w:p w14:paraId="74234F8D" w14:textId="1B555F2A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9AFBD93" w14:textId="2007E551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60872DD" w14:textId="7B95940C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3634078" w14:textId="0B70EA2B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0509CFAC" w14:textId="045D379D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4709F9F" w14:textId="225435DF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FA8820F" w14:textId="01DA3ED0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1ACEEEC" w14:textId="3A061810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32569779" w14:textId="04E299CD" w:rsidR="001139C0" w:rsidRPr="001139C0" w:rsidRDefault="001139C0" w:rsidP="001139C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t>Este subsector corresponde ao CPC Prov. 922.</w:t>
            </w:r>
          </w:p>
        </w:tc>
      </w:tr>
      <w:tr w:rsidR="001139C0" w:rsidRPr="001139C0" w14:paraId="35EE7E9D" w14:textId="77777777" w:rsidTr="001A547F">
        <w:tc>
          <w:tcPr>
            <w:tcW w:w="3674" w:type="dxa"/>
          </w:tcPr>
          <w:p w14:paraId="7FC6FE08" w14:textId="715101A5" w:rsidR="001139C0" w:rsidRPr="001139C0" w:rsidRDefault="001139C0" w:rsidP="001139C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>D.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1139C0">
              <w:rPr>
                <w:rFonts w:ascii="Ebrima" w:hAnsi="Ebrima"/>
                <w:spacing w:val="-2"/>
                <w:sz w:val="20"/>
                <w:lang w:val="pt-PT"/>
              </w:rPr>
              <w:t xml:space="preserve">Serviços de ensino pós-secundário não terciário 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>(CPC 924)</w:t>
            </w:r>
          </w:p>
        </w:tc>
        <w:tc>
          <w:tcPr>
            <w:tcW w:w="3675" w:type="dxa"/>
          </w:tcPr>
          <w:p w14:paraId="46CA3766" w14:textId="53921E4C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6BC30C6" w14:textId="6D553360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CA80B47" w14:textId="4F271FB0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lastRenderedPageBreak/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00C834D" w14:textId="25BEFF0E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1E12AC2C" w14:textId="71C003E1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lastRenderedPageBreak/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D63DAA4" w14:textId="369AE456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AC7AA6F" w14:textId="1B23A768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lastRenderedPageBreak/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B15E754" w14:textId="09B8A555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32B58797" w14:textId="77777777" w:rsidR="001139C0" w:rsidRPr="001139C0" w:rsidRDefault="001139C0" w:rsidP="001139C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lastRenderedPageBreak/>
              <w:t xml:space="preserve">Este subsector abrange programas vocacionais curtos a nível pós-secundário que conduzem os </w:t>
            </w: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lastRenderedPageBreak/>
              <w:t>estudantes ao mercado de trabalho ou programas com instrução académica substancial especificamente concebidos para preparar os estudantes para a entrada no ensino superior.</w:t>
            </w:r>
          </w:p>
          <w:p w14:paraId="225870DC" w14:textId="791F7881" w:rsidR="001139C0" w:rsidRPr="001139C0" w:rsidRDefault="001139C0" w:rsidP="001139C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t>Este subsector corresponde em parte às Prov. 923 e 924 do CPC.  Qualquer distinção reflectida nos compromissos existentes deve ser aqui tida em conta.</w:t>
            </w:r>
          </w:p>
        </w:tc>
      </w:tr>
      <w:tr w:rsidR="001139C0" w:rsidRPr="001139C0" w14:paraId="0F30ECED" w14:textId="77777777" w:rsidTr="001A547F">
        <w:tc>
          <w:tcPr>
            <w:tcW w:w="3674" w:type="dxa"/>
          </w:tcPr>
          <w:p w14:paraId="47385076" w14:textId="130DC268" w:rsidR="001139C0" w:rsidRPr="001139C0" w:rsidRDefault="001139C0" w:rsidP="001139C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lastRenderedPageBreak/>
              <w:t>E.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</w:r>
            <w:r w:rsidRPr="001139C0">
              <w:rPr>
                <w:rFonts w:ascii="Ebrima" w:hAnsi="Ebrima"/>
                <w:spacing w:val="-2"/>
                <w:sz w:val="20"/>
                <w:lang w:val="pt-PT"/>
              </w:rPr>
              <w:t xml:space="preserve">Serviços de Ensino Superior </w:t>
            </w:r>
            <w:r w:rsidRPr="001139C0">
              <w:rPr>
                <w:rFonts w:ascii="Ebrima" w:hAnsi="Ebrima" w:cs="Arial"/>
                <w:sz w:val="20"/>
                <w:lang w:val="pt-PT"/>
              </w:rPr>
              <w:t>(CPC 925)</w:t>
            </w:r>
          </w:p>
        </w:tc>
        <w:tc>
          <w:tcPr>
            <w:tcW w:w="3675" w:type="dxa"/>
          </w:tcPr>
          <w:p w14:paraId="37AD2D4C" w14:textId="64C3B3E2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9AF8A50" w14:textId="13B40C1A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E59E067" w14:textId="3F03DECA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6739DCD" w14:textId="46CE883C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02A34301" w14:textId="5418921B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C4E1DCF" w14:textId="0E35A422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BDA5AA0" w14:textId="31422D59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C79A0A2" w14:textId="38B7B719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1EAE2307" w14:textId="77777777" w:rsidR="001139C0" w:rsidRPr="001139C0" w:rsidRDefault="001139C0" w:rsidP="001139C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t>Este subsector abrange os serviços de ensino superior de graduação que conduzem a um grau universitário ou equivalente. Estes serviços de ensino são oferecidos em universidades, colégios e instituições similares de ensino superior; e serviços de ensino superior a nível de pós-graduação para programas de ensino superior que conduzem directamente a uma qualificação de investigação avançada, tal como um grau de doutoramento.</w:t>
            </w:r>
          </w:p>
          <w:p w14:paraId="5114348D" w14:textId="19828422" w:rsidR="001139C0" w:rsidRPr="001139C0" w:rsidRDefault="001139C0" w:rsidP="001139C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t>Este subsector corresponde em parte às Prov. 923 e 924 do CPC.  Qualquer distinção reflectida nos compromissos existentes deve ser aqui tida em conta.</w:t>
            </w:r>
          </w:p>
        </w:tc>
      </w:tr>
      <w:tr w:rsidR="001139C0" w:rsidRPr="001139C0" w14:paraId="7B42A0B2" w14:textId="77777777" w:rsidTr="001A547F">
        <w:tc>
          <w:tcPr>
            <w:tcW w:w="3674" w:type="dxa"/>
          </w:tcPr>
          <w:p w14:paraId="6F7B06B9" w14:textId="03E42506" w:rsidR="001139C0" w:rsidRPr="001139C0" w:rsidRDefault="001139C0" w:rsidP="001139C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lastRenderedPageBreak/>
              <w:t>F.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1139C0">
              <w:rPr>
                <w:rFonts w:ascii="Ebrima" w:hAnsi="Ebrima"/>
                <w:spacing w:val="-2"/>
                <w:sz w:val="20"/>
                <w:lang w:val="pt-PT"/>
              </w:rPr>
              <w:t xml:space="preserve">Outros serviços de educação e formação e serviços de apoio educativo </w:t>
            </w:r>
            <w:r w:rsidRPr="001139C0">
              <w:rPr>
                <w:rFonts w:ascii="Ebrima" w:hAnsi="Ebrima" w:cs="Arial"/>
                <w:sz w:val="20"/>
                <w:szCs w:val="20"/>
                <w:lang w:val="pt-PT"/>
              </w:rPr>
              <w:t>(CPC 929)</w:t>
            </w:r>
          </w:p>
        </w:tc>
        <w:tc>
          <w:tcPr>
            <w:tcW w:w="3675" w:type="dxa"/>
          </w:tcPr>
          <w:p w14:paraId="2960BCC6" w14:textId="6DF71BEB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F36C554" w14:textId="0C62A292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33D19B4" w14:textId="01603361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DBDE0D0" w14:textId="17E23046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24043ADE" w14:textId="26BC6E4D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1)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1530C26" w14:textId="288C6D23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2)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A05DBCD" w14:textId="7228527C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3)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8668445" w14:textId="74811665" w:rsidR="001139C0" w:rsidRPr="001139C0" w:rsidRDefault="001139C0" w:rsidP="001139C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1139C0">
              <w:rPr>
                <w:rFonts w:ascii="Ebrima" w:hAnsi="Ebrima" w:cs="Arial"/>
                <w:sz w:val="20"/>
                <w:lang w:val="pt-PT"/>
              </w:rPr>
              <w:t>4)</w:t>
            </w:r>
            <w:r w:rsidRPr="001139C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6FED3CCE" w14:textId="770013AA" w:rsidR="001139C0" w:rsidRPr="001139C0" w:rsidRDefault="001139C0" w:rsidP="001139C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1139C0">
              <w:rPr>
                <w:rFonts w:ascii="Ebrima" w:hAnsi="Ebrima" w:cs="Arial"/>
                <w:b/>
                <w:bCs/>
                <w:sz w:val="20"/>
                <w:lang w:val="pt-PT"/>
              </w:rPr>
              <w:t>Este subsector abrange educação e formação cultural, tais como instrução de música ou dança (CPC 92911), instrução de condução ou pilotagem, gestão ou formação informática (CPC 92919), e serviços de apoio tais como aconselhamento educacional, orientação, testes, avaliação e programas de intercâmbio de estudantes (CPC 9292).</w:t>
            </w:r>
          </w:p>
        </w:tc>
      </w:tr>
    </w:tbl>
    <w:p w14:paraId="19D0F01A" w14:textId="77777777" w:rsidR="009A6419" w:rsidRPr="001139C0" w:rsidRDefault="00000000">
      <w:pPr>
        <w:rPr>
          <w:lang w:val="pt-PT"/>
        </w:rPr>
      </w:pPr>
    </w:p>
    <w:sectPr w:rsidR="009A6419" w:rsidRPr="001139C0" w:rsidSect="0000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3EA5" w14:textId="77777777" w:rsidR="00BD5C35" w:rsidRDefault="00BD5C35" w:rsidP="00004FD3">
      <w:r>
        <w:separator/>
      </w:r>
    </w:p>
  </w:endnote>
  <w:endnote w:type="continuationSeparator" w:id="0">
    <w:p w14:paraId="646A6724" w14:textId="77777777" w:rsidR="00BD5C35" w:rsidRDefault="00BD5C35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20C3" w14:textId="77777777" w:rsidR="00205EF6" w:rsidRDefault="00205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89A8" w14:textId="77777777" w:rsidR="00205EF6" w:rsidRDefault="00205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0E74" w14:textId="77777777" w:rsidR="00205EF6" w:rsidRDefault="00205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E850" w14:textId="77777777" w:rsidR="00BD5C35" w:rsidRDefault="00BD5C35" w:rsidP="00004FD3">
      <w:r>
        <w:separator/>
      </w:r>
    </w:p>
  </w:footnote>
  <w:footnote w:type="continuationSeparator" w:id="0">
    <w:p w14:paraId="0C909E13" w14:textId="77777777" w:rsidR="00BD5C35" w:rsidRDefault="00BD5C35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6E47" w14:textId="77777777" w:rsidR="00205EF6" w:rsidRDefault="00205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178C40E2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</w:t>
    </w:r>
    <w:r w:rsidR="00970E70">
      <w:rPr>
        <w:rFonts w:ascii="Arial" w:hAnsi="Arial" w:cs="Arial"/>
        <w:b/>
        <w:bCs/>
        <w:iCs/>
        <w:sz w:val="23"/>
        <w:szCs w:val="23"/>
      </w:rPr>
      <w:t>Edu</w:t>
    </w:r>
  </w:p>
  <w:p w14:paraId="43E31D22" w14:textId="77777777" w:rsidR="00004FD3" w:rsidRDefault="000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CF07" w14:textId="77777777" w:rsidR="00205EF6" w:rsidRDefault="00205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798"/>
    <w:multiLevelType w:val="hybridMultilevel"/>
    <w:tmpl w:val="10747E98"/>
    <w:lvl w:ilvl="0" w:tplc="EF6C904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42F8"/>
    <w:multiLevelType w:val="hybridMultilevel"/>
    <w:tmpl w:val="C26424E4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307A4"/>
    <w:multiLevelType w:val="hybridMultilevel"/>
    <w:tmpl w:val="67327F5A"/>
    <w:lvl w:ilvl="0" w:tplc="8E1C3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E91"/>
    <w:multiLevelType w:val="hybridMultilevel"/>
    <w:tmpl w:val="EFD0A97E"/>
    <w:lvl w:ilvl="0" w:tplc="4E1051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367DE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62F6E67E">
      <w:start w:val="3"/>
      <w:numFmt w:val="bullet"/>
      <w:lvlText w:val="-"/>
      <w:lvlJc w:val="left"/>
      <w:pPr>
        <w:ind w:left="1980" w:hanging="360"/>
      </w:pPr>
      <w:rPr>
        <w:rFonts w:ascii="Ebrima" w:eastAsia="Times New Roman" w:hAnsi="Ebrim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2AA"/>
    <w:multiLevelType w:val="hybridMultilevel"/>
    <w:tmpl w:val="5226E51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6"/>
  </w:num>
  <w:num w:numId="4" w16cid:durableId="1580600485">
    <w:abstractNumId w:val="8"/>
  </w:num>
  <w:num w:numId="5" w16cid:durableId="1077438713">
    <w:abstractNumId w:val="19"/>
  </w:num>
  <w:num w:numId="6" w16cid:durableId="1950041285">
    <w:abstractNumId w:val="24"/>
  </w:num>
  <w:num w:numId="7" w16cid:durableId="5207238">
    <w:abstractNumId w:val="39"/>
  </w:num>
  <w:num w:numId="8" w16cid:durableId="592787077">
    <w:abstractNumId w:val="37"/>
  </w:num>
  <w:num w:numId="9" w16cid:durableId="1097868858">
    <w:abstractNumId w:val="7"/>
  </w:num>
  <w:num w:numId="10" w16cid:durableId="926309072">
    <w:abstractNumId w:val="30"/>
  </w:num>
  <w:num w:numId="11" w16cid:durableId="500046425">
    <w:abstractNumId w:val="21"/>
  </w:num>
  <w:num w:numId="12" w16cid:durableId="151140839">
    <w:abstractNumId w:val="6"/>
  </w:num>
  <w:num w:numId="13" w16cid:durableId="90322709">
    <w:abstractNumId w:val="22"/>
  </w:num>
  <w:num w:numId="14" w16cid:durableId="1572544350">
    <w:abstractNumId w:val="13"/>
  </w:num>
  <w:num w:numId="15" w16cid:durableId="178466834">
    <w:abstractNumId w:val="1"/>
  </w:num>
  <w:num w:numId="16" w16cid:durableId="1586452299">
    <w:abstractNumId w:val="38"/>
  </w:num>
  <w:num w:numId="17" w16cid:durableId="285350383">
    <w:abstractNumId w:val="11"/>
  </w:num>
  <w:num w:numId="18" w16cid:durableId="391464855">
    <w:abstractNumId w:val="15"/>
  </w:num>
  <w:num w:numId="19" w16cid:durableId="637951866">
    <w:abstractNumId w:val="28"/>
  </w:num>
  <w:num w:numId="20" w16cid:durableId="360401542">
    <w:abstractNumId w:val="3"/>
  </w:num>
  <w:num w:numId="21" w16cid:durableId="975797714">
    <w:abstractNumId w:val="34"/>
  </w:num>
  <w:num w:numId="22" w16cid:durableId="1040545058">
    <w:abstractNumId w:val="35"/>
  </w:num>
  <w:num w:numId="23" w16cid:durableId="1967196390">
    <w:abstractNumId w:val="14"/>
  </w:num>
  <w:num w:numId="24" w16cid:durableId="2146459873">
    <w:abstractNumId w:val="29"/>
  </w:num>
  <w:num w:numId="25" w16cid:durableId="1924027262">
    <w:abstractNumId w:val="9"/>
  </w:num>
  <w:num w:numId="26" w16cid:durableId="1288731308">
    <w:abstractNumId w:val="18"/>
  </w:num>
  <w:num w:numId="27" w16cid:durableId="1933850568">
    <w:abstractNumId w:val="26"/>
  </w:num>
  <w:num w:numId="28" w16cid:durableId="944077657">
    <w:abstractNumId w:val="23"/>
  </w:num>
  <w:num w:numId="29" w16cid:durableId="1545680300">
    <w:abstractNumId w:val="12"/>
  </w:num>
  <w:num w:numId="30" w16cid:durableId="1407460901">
    <w:abstractNumId w:val="40"/>
  </w:num>
  <w:num w:numId="31" w16cid:durableId="264197512">
    <w:abstractNumId w:val="4"/>
  </w:num>
  <w:num w:numId="32" w16cid:durableId="9071722">
    <w:abstractNumId w:val="20"/>
  </w:num>
  <w:num w:numId="33" w16cid:durableId="1601988858">
    <w:abstractNumId w:val="31"/>
  </w:num>
  <w:num w:numId="34" w16cid:durableId="274362791">
    <w:abstractNumId w:val="32"/>
  </w:num>
  <w:num w:numId="35" w16cid:durableId="1482308233">
    <w:abstractNumId w:val="33"/>
  </w:num>
  <w:num w:numId="36" w16cid:durableId="1629582067">
    <w:abstractNumId w:val="25"/>
  </w:num>
  <w:num w:numId="37" w16cid:durableId="1841698123">
    <w:abstractNumId w:val="17"/>
  </w:num>
  <w:num w:numId="38" w16cid:durableId="1293243739">
    <w:abstractNumId w:val="27"/>
  </w:num>
  <w:num w:numId="39" w16cid:durableId="1147353620">
    <w:abstractNumId w:val="16"/>
  </w:num>
  <w:num w:numId="40" w16cid:durableId="611980219">
    <w:abstractNumId w:val="5"/>
  </w:num>
  <w:num w:numId="41" w16cid:durableId="980185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25615"/>
    <w:rsid w:val="00056AB1"/>
    <w:rsid w:val="000A7B3F"/>
    <w:rsid w:val="000D1413"/>
    <w:rsid w:val="001139C0"/>
    <w:rsid w:val="001726F5"/>
    <w:rsid w:val="001A547F"/>
    <w:rsid w:val="001C58BC"/>
    <w:rsid w:val="001E0184"/>
    <w:rsid w:val="00205EF6"/>
    <w:rsid w:val="002323E8"/>
    <w:rsid w:val="002634A8"/>
    <w:rsid w:val="003D50AA"/>
    <w:rsid w:val="004208F3"/>
    <w:rsid w:val="004822F0"/>
    <w:rsid w:val="00502C74"/>
    <w:rsid w:val="00535698"/>
    <w:rsid w:val="005E1E32"/>
    <w:rsid w:val="007050C9"/>
    <w:rsid w:val="007129FF"/>
    <w:rsid w:val="00802EDC"/>
    <w:rsid w:val="00856C7A"/>
    <w:rsid w:val="00885162"/>
    <w:rsid w:val="00970E70"/>
    <w:rsid w:val="00985E2C"/>
    <w:rsid w:val="009F3F94"/>
    <w:rsid w:val="00AE01E3"/>
    <w:rsid w:val="00AE0CDE"/>
    <w:rsid w:val="00B3043D"/>
    <w:rsid w:val="00B50DB1"/>
    <w:rsid w:val="00B64A64"/>
    <w:rsid w:val="00BC5E98"/>
    <w:rsid w:val="00BD5C35"/>
    <w:rsid w:val="00C043C3"/>
    <w:rsid w:val="00C15AE6"/>
    <w:rsid w:val="00CA1F4C"/>
    <w:rsid w:val="00CF42A5"/>
    <w:rsid w:val="00D25F2E"/>
    <w:rsid w:val="00D43E8E"/>
    <w:rsid w:val="00D6128A"/>
    <w:rsid w:val="00D741EC"/>
    <w:rsid w:val="00DC3FFF"/>
    <w:rsid w:val="00DE0420"/>
    <w:rsid w:val="00E30297"/>
    <w:rsid w:val="00E46119"/>
    <w:rsid w:val="00E70365"/>
    <w:rsid w:val="00EC43CF"/>
    <w:rsid w:val="00ED7526"/>
    <w:rsid w:val="00F6037E"/>
    <w:rsid w:val="00F91DA6"/>
    <w:rsid w:val="00FA22EC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7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698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69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53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2</cp:revision>
  <cp:lastPrinted>2023-03-29T08:31:00Z</cp:lastPrinted>
  <dcterms:created xsi:type="dcterms:W3CDTF">2023-04-21T14:37:00Z</dcterms:created>
  <dcterms:modified xsi:type="dcterms:W3CDTF">2023-04-21T14:37:00Z</dcterms:modified>
</cp:coreProperties>
</file>