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B3B2" w14:textId="7251D43C" w:rsidR="00001F93" w:rsidRPr="00F101A0" w:rsidRDefault="006E1944" w:rsidP="000953A4">
      <w:pPr>
        <w:spacing w:after="0" w:line="312" w:lineRule="auto"/>
        <w:jc w:val="center"/>
        <w:rPr>
          <w:rFonts w:ascii="Arial" w:hAnsi="Arial" w:cs="Arial"/>
          <w:b/>
          <w:kern w:val="0"/>
          <w:sz w:val="24"/>
          <w:szCs w:val="24"/>
          <w:lang w:val="en-ZA"/>
        </w:rPr>
      </w:pPr>
      <w:r w:rsidRPr="00F101A0">
        <w:rPr>
          <w:rFonts w:ascii="Arial" w:hAnsi="Arial" w:cs="Arial"/>
          <w:noProof/>
          <w:kern w:val="0"/>
          <w:sz w:val="24"/>
          <w:szCs w:val="24"/>
          <w:lang w:val="en-US"/>
        </w:rPr>
        <w:drawing>
          <wp:inline distT="0" distB="0" distL="0" distR="0" wp14:anchorId="4847FB68" wp14:editId="0C849722">
            <wp:extent cx="1048149" cy="996696"/>
            <wp:effectExtent l="0" t="0" r="0" b="0"/>
            <wp:docPr id="1876589260" name="Picture 1" descr="../Local%20Settings/Temporary%20Internet%20Files/OLK6/Talking%20Notes/WINNT/Profiles/faithk/Temporary%20Internet%20Files/OLK4A/sadclogo_mediu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48149" cy="996696"/>
                    </a:xfrm>
                    <a:prstGeom prst="rect">
                      <a:avLst/>
                    </a:prstGeom>
                    <a:noFill/>
                    <a:ln>
                      <a:noFill/>
                      <a:prstDash/>
                    </a:ln>
                  </pic:spPr>
                </pic:pic>
              </a:graphicData>
            </a:graphic>
          </wp:inline>
        </w:drawing>
      </w:r>
    </w:p>
    <w:p w14:paraId="76FF4DCD" w14:textId="19C8D5B5" w:rsidR="00001F93" w:rsidRPr="00F101A0" w:rsidRDefault="00001F93" w:rsidP="000953A4">
      <w:pPr>
        <w:spacing w:after="0" w:line="312" w:lineRule="auto"/>
        <w:jc w:val="center"/>
        <w:rPr>
          <w:rFonts w:ascii="Arial" w:hAnsi="Arial" w:cs="Arial"/>
          <w:caps/>
          <w:sz w:val="24"/>
          <w:szCs w:val="24"/>
        </w:rPr>
      </w:pPr>
      <w:r w:rsidRPr="00F101A0">
        <w:rPr>
          <w:rFonts w:ascii="Arial" w:hAnsi="Arial" w:cs="Arial"/>
          <w:b/>
          <w:caps/>
          <w:kern w:val="0"/>
          <w:sz w:val="24"/>
          <w:szCs w:val="24"/>
          <w:lang w:val="en-ZA"/>
        </w:rPr>
        <w:t xml:space="preserve">TRADE NEGOTIATING FORUM </w:t>
      </w:r>
      <w:r w:rsidR="00FF2C18" w:rsidRPr="00F101A0">
        <w:rPr>
          <w:rFonts w:ascii="Arial" w:hAnsi="Arial" w:cs="Arial"/>
          <w:b/>
          <w:caps/>
          <w:kern w:val="0"/>
          <w:sz w:val="24"/>
          <w:szCs w:val="24"/>
          <w:lang w:val="en-ZA"/>
        </w:rPr>
        <w:t xml:space="preserve">– </w:t>
      </w:r>
      <w:r w:rsidRPr="00F101A0">
        <w:rPr>
          <w:rFonts w:ascii="Arial" w:hAnsi="Arial" w:cs="Arial"/>
          <w:b/>
          <w:caps/>
          <w:kern w:val="0"/>
          <w:sz w:val="24"/>
          <w:szCs w:val="24"/>
          <w:lang w:val="en-ZA"/>
        </w:rPr>
        <w:t>SERVICES</w:t>
      </w:r>
      <w:r w:rsidRPr="00F101A0">
        <w:rPr>
          <w:rFonts w:ascii="Arial" w:hAnsi="Arial" w:cs="Arial"/>
          <w:b/>
          <w:caps/>
          <w:spacing w:val="-61"/>
          <w:kern w:val="0"/>
          <w:sz w:val="24"/>
          <w:szCs w:val="24"/>
          <w:lang w:val="en-ZA"/>
        </w:rPr>
        <w:t xml:space="preserve">  </w:t>
      </w:r>
    </w:p>
    <w:p w14:paraId="3B58A024" w14:textId="5F4BE5AB" w:rsidR="00001F93" w:rsidRPr="00F101A0" w:rsidRDefault="00001F93" w:rsidP="000953A4">
      <w:pPr>
        <w:spacing w:after="0" w:line="312" w:lineRule="auto"/>
        <w:jc w:val="center"/>
        <w:rPr>
          <w:rFonts w:ascii="Arial" w:hAnsi="Arial" w:cs="Arial"/>
          <w:caps/>
          <w:sz w:val="24"/>
          <w:szCs w:val="24"/>
        </w:rPr>
      </w:pPr>
      <w:r w:rsidRPr="00F101A0">
        <w:rPr>
          <w:rFonts w:ascii="Arial" w:hAnsi="Arial" w:cs="Arial"/>
          <w:b/>
          <w:caps/>
          <w:kern w:val="0"/>
          <w:sz w:val="24"/>
          <w:szCs w:val="24"/>
          <w:lang w:val="en-ZA"/>
        </w:rPr>
        <w:t xml:space="preserve">GUIDELINES FOR DEVELOPING </w:t>
      </w:r>
      <w:r w:rsidR="00461A03" w:rsidRPr="00F101A0">
        <w:rPr>
          <w:rFonts w:ascii="Arial" w:hAnsi="Arial" w:cs="Arial"/>
          <w:b/>
          <w:caps/>
          <w:kern w:val="0"/>
          <w:sz w:val="24"/>
          <w:szCs w:val="24"/>
          <w:lang w:val="en-ZA"/>
        </w:rPr>
        <w:t xml:space="preserve">SADC </w:t>
      </w:r>
      <w:r w:rsidRPr="00F101A0">
        <w:rPr>
          <w:rFonts w:ascii="Arial" w:hAnsi="Arial" w:cs="Arial"/>
          <w:b/>
          <w:caps/>
          <w:kern w:val="0"/>
          <w:sz w:val="24"/>
          <w:szCs w:val="24"/>
          <w:lang w:val="en-ZA"/>
        </w:rPr>
        <w:t>MUTUAL RECOGNITION AGREEMENTS FOR PROFESSIONAL SERVICES</w:t>
      </w:r>
    </w:p>
    <w:p w14:paraId="2EE07CAC" w14:textId="4C881CFF" w:rsidR="000E3A3B" w:rsidRPr="00F101A0" w:rsidRDefault="000E3A3B" w:rsidP="000953A4">
      <w:pPr>
        <w:spacing w:after="0" w:line="312" w:lineRule="auto"/>
        <w:ind w:left="2180" w:right="2176"/>
        <w:jc w:val="center"/>
        <w:rPr>
          <w:rFonts w:ascii="Arial" w:hAnsi="Arial" w:cs="Arial"/>
          <w:b/>
          <w:caps/>
          <w:kern w:val="0"/>
          <w:sz w:val="24"/>
          <w:szCs w:val="24"/>
        </w:rPr>
      </w:pPr>
      <w:r w:rsidRPr="00F101A0">
        <w:rPr>
          <w:rFonts w:ascii="Arial" w:hAnsi="Arial" w:cs="Arial"/>
          <w:b/>
          <w:caps/>
          <w:kern w:val="0"/>
          <w:sz w:val="24"/>
          <w:szCs w:val="24"/>
          <w:lang w:val="en-ZA"/>
        </w:rPr>
        <w:t>Second DEDICATED SESSION</w:t>
      </w:r>
      <w:r w:rsidR="00461A03" w:rsidRPr="00F101A0">
        <w:rPr>
          <w:rFonts w:ascii="Arial" w:hAnsi="Arial" w:cs="Arial"/>
          <w:b/>
          <w:caps/>
          <w:kern w:val="0"/>
          <w:sz w:val="24"/>
          <w:szCs w:val="24"/>
          <w:lang w:val="en-ZA"/>
        </w:rPr>
        <w:t>, held</w:t>
      </w:r>
      <w:r w:rsidR="00F8695E" w:rsidRPr="00F101A0">
        <w:rPr>
          <w:rFonts w:ascii="Arial" w:hAnsi="Arial" w:cs="Arial"/>
          <w:b/>
          <w:caps/>
          <w:kern w:val="0"/>
          <w:sz w:val="24"/>
          <w:szCs w:val="24"/>
          <w:lang w:val="en-ZA"/>
        </w:rPr>
        <w:t xml:space="preserve"> virtually </w:t>
      </w:r>
      <w:r w:rsidR="00461A03" w:rsidRPr="00F101A0">
        <w:rPr>
          <w:rFonts w:ascii="Arial" w:hAnsi="Arial" w:cs="Arial"/>
          <w:b/>
          <w:caps/>
          <w:kern w:val="0"/>
          <w:sz w:val="24"/>
          <w:szCs w:val="24"/>
          <w:lang w:val="en-ZA"/>
        </w:rPr>
        <w:t>on 29</w:t>
      </w:r>
      <w:r w:rsidR="00461A03" w:rsidRPr="00F101A0">
        <w:rPr>
          <w:rFonts w:ascii="Arial" w:hAnsi="Arial" w:cs="Arial"/>
          <w:b/>
          <w:caps/>
          <w:kern w:val="0"/>
          <w:sz w:val="24"/>
          <w:szCs w:val="24"/>
          <w:vertAlign w:val="superscript"/>
          <w:lang w:val="en-ZA"/>
        </w:rPr>
        <w:t>th</w:t>
      </w:r>
      <w:r w:rsidR="00461A03" w:rsidRPr="00F101A0">
        <w:rPr>
          <w:rFonts w:ascii="Arial" w:hAnsi="Arial" w:cs="Arial"/>
          <w:b/>
          <w:caps/>
          <w:kern w:val="0"/>
          <w:sz w:val="24"/>
          <w:szCs w:val="24"/>
          <w:lang w:val="en-ZA"/>
        </w:rPr>
        <w:t xml:space="preserve"> may 2023</w:t>
      </w:r>
    </w:p>
    <w:p w14:paraId="520469DB" w14:textId="07035D03" w:rsidR="00001F93" w:rsidRPr="00F101A0" w:rsidRDefault="003571F8" w:rsidP="000953A4">
      <w:pPr>
        <w:spacing w:after="0" w:line="312" w:lineRule="auto"/>
        <w:ind w:left="2180" w:right="2176"/>
        <w:jc w:val="center"/>
        <w:rPr>
          <w:rFonts w:ascii="Arial" w:hAnsi="Arial" w:cs="Arial"/>
          <w:caps/>
          <w:sz w:val="24"/>
          <w:szCs w:val="24"/>
        </w:rPr>
      </w:pPr>
      <w:r w:rsidRPr="00F101A0">
        <w:rPr>
          <w:rFonts w:ascii="Arial" w:hAnsi="Arial" w:cs="Arial"/>
          <w:b/>
          <w:caps/>
          <w:kern w:val="0"/>
          <w:sz w:val="24"/>
          <w:szCs w:val="24"/>
          <w:lang w:val="en-ZA"/>
        </w:rPr>
        <w:t>RePORT</w:t>
      </w:r>
    </w:p>
    <w:p w14:paraId="6569E129" w14:textId="2713E5FA" w:rsidR="00F82DBC" w:rsidRPr="00F101A0" w:rsidRDefault="00614DD5" w:rsidP="000953A4">
      <w:pPr>
        <w:spacing w:after="0" w:line="312" w:lineRule="auto"/>
        <w:jc w:val="center"/>
        <w:rPr>
          <w:rFonts w:ascii="Arial" w:hAnsi="Arial" w:cs="Arial"/>
          <w:b/>
          <w:bCs/>
          <w:caps/>
          <w:sz w:val="24"/>
          <w:szCs w:val="24"/>
        </w:rPr>
      </w:pPr>
      <w:r w:rsidRPr="00F101A0">
        <w:rPr>
          <w:rFonts w:ascii="Arial" w:hAnsi="Arial" w:cs="Arial"/>
          <w:b/>
          <w:caps/>
          <w:noProof/>
          <w:kern w:val="0"/>
          <w:sz w:val="24"/>
          <w:szCs w:val="24"/>
          <w:lang w:val="en-ZA"/>
        </w:rPr>
        <mc:AlternateContent>
          <mc:Choice Requires="wps">
            <w:drawing>
              <wp:anchor distT="0" distB="0" distL="114300" distR="114300" simplePos="0" relativeHeight="251659264" behindDoc="0" locked="0" layoutInCell="1" allowOverlap="1" wp14:anchorId="7E9B8BC1" wp14:editId="2B375A29">
                <wp:simplePos x="0" y="0"/>
                <wp:positionH relativeFrom="column">
                  <wp:posOffset>12700</wp:posOffset>
                </wp:positionH>
                <wp:positionV relativeFrom="paragraph">
                  <wp:posOffset>97790</wp:posOffset>
                </wp:positionV>
                <wp:extent cx="5873750" cy="0"/>
                <wp:effectExtent l="0" t="0" r="0" b="0"/>
                <wp:wrapNone/>
                <wp:docPr id="776871120" name="Straight Connector 2"/>
                <wp:cNvGraphicFramePr/>
                <a:graphic xmlns:a="http://schemas.openxmlformats.org/drawingml/2006/main">
                  <a:graphicData uri="http://schemas.microsoft.com/office/word/2010/wordprocessingShape">
                    <wps:wsp>
                      <wps:cNvCnPr/>
                      <wps:spPr>
                        <a:xfrm>
                          <a:off x="0" y="0"/>
                          <a:ext cx="58737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w:pict>
              <v:line w14:anchorId="58D41F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7.7pt" to="46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" strokecolor="black [3200]" strokeweight="1.5pt">
                <v:stroke joinstyle="miter"/>
              </v:line>
            </w:pict>
          </mc:Fallback>
        </mc:AlternateContent>
      </w:r>
    </w:p>
    <w:p w14:paraId="75F4CE42" w14:textId="77777777" w:rsidR="00F82DBC" w:rsidRPr="00F101A0" w:rsidRDefault="00F82DBC" w:rsidP="000953A4">
      <w:pPr>
        <w:pStyle w:val="PlainText"/>
        <w:spacing w:line="312" w:lineRule="auto"/>
        <w:rPr>
          <w:rFonts w:ascii="Arial" w:hAnsi="Arial" w:cs="Arial"/>
          <w:caps/>
          <w:sz w:val="24"/>
          <w:szCs w:val="24"/>
        </w:rPr>
      </w:pPr>
    </w:p>
    <w:p w14:paraId="7A26B2DD" w14:textId="77777777" w:rsidR="003958EF" w:rsidRPr="00F101A0" w:rsidRDefault="003958EF" w:rsidP="000953A4">
      <w:pPr>
        <w:pStyle w:val="ListParagraph"/>
        <w:numPr>
          <w:ilvl w:val="0"/>
          <w:numId w:val="1"/>
        </w:numPr>
        <w:spacing w:after="0" w:line="312" w:lineRule="auto"/>
        <w:ind w:left="851" w:hanging="851"/>
        <w:rPr>
          <w:rFonts w:ascii="Arial" w:hAnsi="Arial" w:cs="Arial"/>
          <w:b/>
          <w:bCs/>
          <w:sz w:val="24"/>
          <w:szCs w:val="24"/>
        </w:rPr>
      </w:pPr>
      <w:r w:rsidRPr="00F101A0">
        <w:rPr>
          <w:rFonts w:ascii="Arial" w:hAnsi="Arial" w:cs="Arial"/>
          <w:b/>
          <w:bCs/>
          <w:sz w:val="24"/>
          <w:szCs w:val="24"/>
        </w:rPr>
        <w:t>OPENING REMARKS</w:t>
      </w:r>
    </w:p>
    <w:p w14:paraId="3D138E66" w14:textId="77777777" w:rsidR="00F82DBC" w:rsidRPr="00F101A0" w:rsidRDefault="00F82DBC" w:rsidP="000953A4">
      <w:pPr>
        <w:pStyle w:val="ListParagraph"/>
        <w:tabs>
          <w:tab w:val="left" w:pos="1170"/>
        </w:tabs>
        <w:spacing w:after="0" w:line="312" w:lineRule="auto"/>
        <w:ind w:left="851" w:hanging="851"/>
        <w:jc w:val="both"/>
        <w:rPr>
          <w:rFonts w:ascii="Arial" w:hAnsi="Arial" w:cs="Arial"/>
          <w:sz w:val="24"/>
          <w:szCs w:val="24"/>
        </w:rPr>
      </w:pPr>
    </w:p>
    <w:p w14:paraId="553A36B5" w14:textId="76340113" w:rsidR="00247AC4" w:rsidRPr="00F101A0" w:rsidRDefault="00247AC4" w:rsidP="000953A4">
      <w:pPr>
        <w:pStyle w:val="ListParagraph"/>
        <w:numPr>
          <w:ilvl w:val="1"/>
          <w:numId w:val="1"/>
        </w:numPr>
        <w:tabs>
          <w:tab w:val="left" w:pos="1170"/>
        </w:tabs>
        <w:spacing w:after="0" w:line="312" w:lineRule="auto"/>
        <w:ind w:left="851" w:hanging="851"/>
        <w:jc w:val="both"/>
        <w:rPr>
          <w:rFonts w:ascii="Arial" w:hAnsi="Arial" w:cs="Arial"/>
          <w:sz w:val="24"/>
          <w:szCs w:val="24"/>
        </w:rPr>
      </w:pPr>
      <w:r w:rsidRPr="00F101A0">
        <w:rPr>
          <w:rFonts w:ascii="Arial" w:hAnsi="Arial" w:cs="Arial"/>
          <w:sz w:val="24"/>
          <w:szCs w:val="24"/>
        </w:rPr>
        <w:t>The second dedicated session of the Trade Negotiating Forum – Services</w:t>
      </w:r>
      <w:r w:rsidR="00855387" w:rsidRPr="00F101A0">
        <w:rPr>
          <w:rFonts w:ascii="Arial" w:hAnsi="Arial" w:cs="Arial"/>
          <w:sz w:val="24"/>
          <w:szCs w:val="24"/>
        </w:rPr>
        <w:t xml:space="preserve"> (TNF-Services)</w:t>
      </w:r>
      <w:r w:rsidRPr="00F101A0">
        <w:rPr>
          <w:rFonts w:ascii="Arial" w:hAnsi="Arial" w:cs="Arial"/>
          <w:sz w:val="24"/>
          <w:szCs w:val="24"/>
        </w:rPr>
        <w:t xml:space="preserve"> on </w:t>
      </w:r>
      <w:r w:rsidR="00855387" w:rsidRPr="00F101A0">
        <w:rPr>
          <w:rFonts w:ascii="Arial" w:hAnsi="Arial" w:cs="Arial"/>
          <w:sz w:val="24"/>
          <w:szCs w:val="24"/>
        </w:rPr>
        <w:t xml:space="preserve">Guidelines for Developing </w:t>
      </w:r>
      <w:r w:rsidR="00880CA6" w:rsidRPr="00F101A0">
        <w:rPr>
          <w:rFonts w:ascii="Arial" w:hAnsi="Arial" w:cs="Arial"/>
          <w:sz w:val="24"/>
          <w:szCs w:val="24"/>
        </w:rPr>
        <w:t xml:space="preserve">SADC </w:t>
      </w:r>
      <w:r w:rsidR="00855387" w:rsidRPr="00F101A0">
        <w:rPr>
          <w:rFonts w:ascii="Arial" w:hAnsi="Arial" w:cs="Arial"/>
          <w:sz w:val="24"/>
          <w:szCs w:val="24"/>
        </w:rPr>
        <w:t xml:space="preserve">Mutual Recognition Agreements (MRAs) for Professional Services </w:t>
      </w:r>
      <w:r w:rsidR="004F0B9E" w:rsidRPr="00F101A0">
        <w:rPr>
          <w:rFonts w:ascii="Arial" w:hAnsi="Arial" w:cs="Arial"/>
          <w:sz w:val="24"/>
          <w:szCs w:val="24"/>
        </w:rPr>
        <w:t xml:space="preserve">(“the Guidelines”) </w:t>
      </w:r>
      <w:r w:rsidR="00855387" w:rsidRPr="00F101A0">
        <w:rPr>
          <w:rFonts w:ascii="Arial" w:hAnsi="Arial" w:cs="Arial"/>
          <w:sz w:val="24"/>
          <w:szCs w:val="24"/>
        </w:rPr>
        <w:t>was held virtually on 29 May 2023.</w:t>
      </w:r>
      <w:r w:rsidR="00EE6C20" w:rsidRPr="00F101A0">
        <w:rPr>
          <w:rFonts w:ascii="Arial" w:hAnsi="Arial" w:cs="Arial"/>
          <w:sz w:val="24"/>
          <w:szCs w:val="24"/>
        </w:rPr>
        <w:t xml:space="preserve"> The objective of the </w:t>
      </w:r>
      <w:r w:rsidR="00134770" w:rsidRPr="00F101A0">
        <w:rPr>
          <w:rFonts w:ascii="Arial" w:hAnsi="Arial" w:cs="Arial"/>
          <w:sz w:val="24"/>
          <w:szCs w:val="24"/>
        </w:rPr>
        <w:t xml:space="preserve">session </w:t>
      </w:r>
      <w:r w:rsidR="00EE6C20" w:rsidRPr="00F101A0">
        <w:rPr>
          <w:rFonts w:ascii="Arial" w:hAnsi="Arial" w:cs="Arial"/>
          <w:sz w:val="24"/>
          <w:szCs w:val="24"/>
        </w:rPr>
        <w:t xml:space="preserve">was to </w:t>
      </w:r>
      <w:r w:rsidR="00607FA8" w:rsidRPr="00F101A0">
        <w:rPr>
          <w:rFonts w:ascii="Arial" w:hAnsi="Arial" w:cs="Arial"/>
          <w:sz w:val="24"/>
          <w:szCs w:val="24"/>
        </w:rPr>
        <w:t xml:space="preserve">take </w:t>
      </w:r>
      <w:r w:rsidR="008E1500" w:rsidRPr="00F101A0">
        <w:rPr>
          <w:rFonts w:ascii="Arial" w:hAnsi="Arial" w:cs="Arial"/>
          <w:sz w:val="24"/>
          <w:szCs w:val="24"/>
        </w:rPr>
        <w:t>stock</w:t>
      </w:r>
      <w:r w:rsidR="00607FA8" w:rsidRPr="00F101A0">
        <w:rPr>
          <w:rFonts w:ascii="Arial" w:hAnsi="Arial" w:cs="Arial"/>
          <w:sz w:val="24"/>
          <w:szCs w:val="24"/>
        </w:rPr>
        <w:t xml:space="preserve"> </w:t>
      </w:r>
      <w:r w:rsidR="008E1500" w:rsidRPr="00F101A0">
        <w:rPr>
          <w:rFonts w:ascii="Arial" w:hAnsi="Arial" w:cs="Arial"/>
          <w:sz w:val="24"/>
          <w:szCs w:val="24"/>
        </w:rPr>
        <w:t xml:space="preserve">of the results from </w:t>
      </w:r>
      <w:r w:rsidR="004F0B9E" w:rsidRPr="00F101A0">
        <w:rPr>
          <w:rFonts w:ascii="Arial" w:hAnsi="Arial" w:cs="Arial"/>
          <w:sz w:val="24"/>
          <w:szCs w:val="24"/>
        </w:rPr>
        <w:t xml:space="preserve">the </w:t>
      </w:r>
      <w:r w:rsidR="00EE6C20" w:rsidRPr="00F101A0">
        <w:rPr>
          <w:rFonts w:ascii="Arial" w:hAnsi="Arial" w:cs="Arial"/>
          <w:sz w:val="24"/>
          <w:szCs w:val="24"/>
        </w:rPr>
        <w:t xml:space="preserve">first </w:t>
      </w:r>
      <w:r w:rsidR="00536C24">
        <w:rPr>
          <w:rFonts w:ascii="Arial" w:hAnsi="Arial" w:cs="Arial"/>
          <w:sz w:val="24"/>
          <w:szCs w:val="24"/>
        </w:rPr>
        <w:t>dedicated session</w:t>
      </w:r>
      <w:r w:rsidR="00EE6C20" w:rsidRPr="00F101A0">
        <w:rPr>
          <w:rFonts w:ascii="Arial" w:hAnsi="Arial" w:cs="Arial"/>
          <w:sz w:val="24"/>
          <w:szCs w:val="24"/>
        </w:rPr>
        <w:t xml:space="preserve">, held </w:t>
      </w:r>
      <w:r w:rsidR="00536C24">
        <w:rPr>
          <w:rFonts w:ascii="Arial" w:hAnsi="Arial" w:cs="Arial"/>
          <w:sz w:val="24"/>
          <w:szCs w:val="24"/>
        </w:rPr>
        <w:t xml:space="preserve">virtually </w:t>
      </w:r>
      <w:r w:rsidR="00EE6C20" w:rsidRPr="00F101A0">
        <w:rPr>
          <w:rFonts w:ascii="Arial" w:hAnsi="Arial" w:cs="Arial"/>
          <w:sz w:val="24"/>
          <w:szCs w:val="24"/>
        </w:rPr>
        <w:t>on 10 May 2023</w:t>
      </w:r>
      <w:r w:rsidR="008E1500" w:rsidRPr="00F101A0">
        <w:rPr>
          <w:rFonts w:ascii="Arial" w:hAnsi="Arial" w:cs="Arial"/>
          <w:sz w:val="24"/>
          <w:szCs w:val="24"/>
        </w:rPr>
        <w:t xml:space="preserve">, </w:t>
      </w:r>
      <w:r w:rsidR="00880CA6" w:rsidRPr="00F101A0">
        <w:rPr>
          <w:rFonts w:ascii="Arial" w:hAnsi="Arial" w:cs="Arial"/>
          <w:sz w:val="24"/>
          <w:szCs w:val="24"/>
        </w:rPr>
        <w:t>consider the</w:t>
      </w:r>
      <w:r w:rsidR="0046629F" w:rsidRPr="00F101A0">
        <w:rPr>
          <w:rFonts w:ascii="Arial" w:hAnsi="Arial" w:cs="Arial"/>
          <w:sz w:val="24"/>
          <w:szCs w:val="24"/>
        </w:rPr>
        <w:t xml:space="preserve"> </w:t>
      </w:r>
      <w:r w:rsidR="003E1DF3" w:rsidRPr="00F101A0">
        <w:rPr>
          <w:rFonts w:ascii="Arial" w:hAnsi="Arial" w:cs="Arial"/>
          <w:sz w:val="24"/>
          <w:szCs w:val="24"/>
        </w:rPr>
        <w:t xml:space="preserve">outstanding </w:t>
      </w:r>
      <w:r w:rsidR="0046629F" w:rsidRPr="00F101A0">
        <w:rPr>
          <w:rFonts w:ascii="Arial" w:hAnsi="Arial" w:cs="Arial"/>
          <w:sz w:val="24"/>
          <w:szCs w:val="24"/>
        </w:rPr>
        <w:t>issues</w:t>
      </w:r>
      <w:r w:rsidR="003E1DF3" w:rsidRPr="00F101A0">
        <w:rPr>
          <w:rFonts w:ascii="Arial" w:hAnsi="Arial" w:cs="Arial"/>
          <w:sz w:val="24"/>
          <w:szCs w:val="24"/>
        </w:rPr>
        <w:t xml:space="preserve">, </w:t>
      </w:r>
      <w:r w:rsidR="00880CA6" w:rsidRPr="00F101A0">
        <w:rPr>
          <w:rFonts w:ascii="Arial" w:hAnsi="Arial" w:cs="Arial"/>
          <w:sz w:val="24"/>
          <w:szCs w:val="24"/>
        </w:rPr>
        <w:t>and finalise</w:t>
      </w:r>
      <w:r w:rsidR="00FA1E7C" w:rsidRPr="00F101A0">
        <w:rPr>
          <w:rFonts w:ascii="Arial" w:hAnsi="Arial" w:cs="Arial"/>
          <w:sz w:val="24"/>
          <w:szCs w:val="24"/>
        </w:rPr>
        <w:t xml:space="preserve"> the draft Guidelines</w:t>
      </w:r>
      <w:r w:rsidR="00EE6C20" w:rsidRPr="00F101A0">
        <w:rPr>
          <w:rFonts w:ascii="Arial" w:hAnsi="Arial" w:cs="Arial"/>
          <w:sz w:val="24"/>
          <w:szCs w:val="24"/>
        </w:rPr>
        <w:t>.</w:t>
      </w:r>
    </w:p>
    <w:p w14:paraId="501DAC65" w14:textId="77777777" w:rsidR="00612974" w:rsidRPr="00F101A0" w:rsidRDefault="00612974" w:rsidP="000953A4">
      <w:pPr>
        <w:pStyle w:val="ListParagraph"/>
        <w:tabs>
          <w:tab w:val="left" w:pos="1170"/>
        </w:tabs>
        <w:spacing w:after="0" w:line="312" w:lineRule="auto"/>
        <w:ind w:left="851" w:hanging="851"/>
        <w:jc w:val="both"/>
        <w:rPr>
          <w:rFonts w:ascii="Arial" w:hAnsi="Arial" w:cs="Arial"/>
          <w:sz w:val="24"/>
          <w:szCs w:val="24"/>
        </w:rPr>
      </w:pPr>
    </w:p>
    <w:p w14:paraId="0416FEF5" w14:textId="0B291A7A" w:rsidR="008A3BE8" w:rsidRPr="00F101A0" w:rsidRDefault="003958EF" w:rsidP="000953A4">
      <w:pPr>
        <w:pStyle w:val="ListParagraph"/>
        <w:numPr>
          <w:ilvl w:val="1"/>
          <w:numId w:val="1"/>
        </w:numPr>
        <w:tabs>
          <w:tab w:val="left" w:pos="1170"/>
        </w:tabs>
        <w:spacing w:after="0" w:line="312" w:lineRule="auto"/>
        <w:ind w:left="851" w:hanging="851"/>
        <w:jc w:val="both"/>
        <w:rPr>
          <w:rFonts w:ascii="Arial" w:hAnsi="Arial" w:cs="Arial"/>
          <w:sz w:val="24"/>
          <w:szCs w:val="24"/>
        </w:rPr>
      </w:pPr>
      <w:r w:rsidRPr="00F101A0">
        <w:rPr>
          <w:rFonts w:ascii="Arial" w:hAnsi="Arial" w:cs="Arial"/>
          <w:sz w:val="24"/>
          <w:szCs w:val="24"/>
        </w:rPr>
        <w:t>In the absence of representative</w:t>
      </w:r>
      <w:r w:rsidR="00AD6F38" w:rsidRPr="00F101A0">
        <w:rPr>
          <w:rFonts w:ascii="Arial" w:hAnsi="Arial" w:cs="Arial"/>
          <w:sz w:val="24"/>
          <w:szCs w:val="24"/>
        </w:rPr>
        <w:t>s</w:t>
      </w:r>
      <w:r w:rsidRPr="00F101A0">
        <w:rPr>
          <w:rFonts w:ascii="Arial" w:hAnsi="Arial" w:cs="Arial"/>
          <w:sz w:val="24"/>
          <w:szCs w:val="24"/>
        </w:rPr>
        <w:t xml:space="preserve"> of the SADC Chairperson</w:t>
      </w:r>
      <w:r w:rsidR="00AD6F38" w:rsidRPr="00F101A0">
        <w:rPr>
          <w:rFonts w:ascii="Arial" w:hAnsi="Arial" w:cs="Arial"/>
          <w:sz w:val="24"/>
          <w:szCs w:val="24"/>
        </w:rPr>
        <w:t xml:space="preserve"> and </w:t>
      </w:r>
      <w:r w:rsidR="002A7994" w:rsidRPr="00F101A0">
        <w:rPr>
          <w:rFonts w:ascii="Arial" w:hAnsi="Arial" w:cs="Arial"/>
          <w:sz w:val="24"/>
          <w:szCs w:val="24"/>
        </w:rPr>
        <w:t>Deputy</w:t>
      </w:r>
      <w:r w:rsidR="00AD6F38" w:rsidRPr="00F101A0">
        <w:rPr>
          <w:rFonts w:ascii="Arial" w:hAnsi="Arial" w:cs="Arial"/>
          <w:sz w:val="24"/>
          <w:szCs w:val="24"/>
        </w:rPr>
        <w:t>-Chairperson (Democratic Republic of Congo and Angola)</w:t>
      </w:r>
      <w:r w:rsidRPr="00F101A0">
        <w:rPr>
          <w:rFonts w:ascii="Arial" w:hAnsi="Arial" w:cs="Arial"/>
          <w:sz w:val="24"/>
          <w:szCs w:val="24"/>
        </w:rPr>
        <w:t xml:space="preserve">, the meeting requested </w:t>
      </w:r>
      <w:r w:rsidR="002A7994" w:rsidRPr="00F101A0">
        <w:rPr>
          <w:rFonts w:ascii="Arial" w:hAnsi="Arial" w:cs="Arial"/>
          <w:sz w:val="24"/>
          <w:szCs w:val="24"/>
        </w:rPr>
        <w:t>Malawi (</w:t>
      </w:r>
      <w:r w:rsidR="00FD1035" w:rsidRPr="00F101A0">
        <w:rPr>
          <w:rFonts w:ascii="Arial" w:hAnsi="Arial" w:cs="Arial"/>
          <w:sz w:val="24"/>
          <w:szCs w:val="24"/>
        </w:rPr>
        <w:t xml:space="preserve">the </w:t>
      </w:r>
      <w:r w:rsidR="002A7994" w:rsidRPr="00F101A0">
        <w:rPr>
          <w:rFonts w:ascii="Arial" w:hAnsi="Arial" w:cs="Arial"/>
          <w:sz w:val="24"/>
          <w:szCs w:val="24"/>
        </w:rPr>
        <w:t>outgoing Chair</w:t>
      </w:r>
      <w:r w:rsidR="00FD1035" w:rsidRPr="00F101A0">
        <w:rPr>
          <w:rFonts w:ascii="Arial" w:hAnsi="Arial" w:cs="Arial"/>
          <w:sz w:val="24"/>
          <w:szCs w:val="24"/>
        </w:rPr>
        <w:t xml:space="preserve">person member of the SADC </w:t>
      </w:r>
      <w:r w:rsidR="002D133A" w:rsidRPr="00F101A0">
        <w:rPr>
          <w:rFonts w:ascii="Arial" w:hAnsi="Arial" w:cs="Arial"/>
          <w:sz w:val="24"/>
          <w:szCs w:val="24"/>
        </w:rPr>
        <w:t>Troika of the Summit</w:t>
      </w:r>
      <w:r w:rsidR="002A7994" w:rsidRPr="00F101A0">
        <w:rPr>
          <w:rFonts w:ascii="Arial" w:hAnsi="Arial" w:cs="Arial"/>
          <w:sz w:val="24"/>
          <w:szCs w:val="24"/>
        </w:rPr>
        <w:t xml:space="preserve">) </w:t>
      </w:r>
      <w:r w:rsidRPr="00F101A0">
        <w:rPr>
          <w:rFonts w:ascii="Arial" w:hAnsi="Arial" w:cs="Arial"/>
          <w:sz w:val="24"/>
          <w:szCs w:val="24"/>
        </w:rPr>
        <w:t>to preside over the deliberations. Mr</w:t>
      </w:r>
      <w:r w:rsidR="002A7994" w:rsidRPr="00F101A0">
        <w:rPr>
          <w:rFonts w:ascii="Arial" w:hAnsi="Arial" w:cs="Arial"/>
          <w:sz w:val="24"/>
          <w:szCs w:val="24"/>
        </w:rPr>
        <w:t>.</w:t>
      </w:r>
      <w:r w:rsidRPr="00F101A0">
        <w:rPr>
          <w:rFonts w:ascii="Arial" w:hAnsi="Arial" w:cs="Arial"/>
          <w:sz w:val="24"/>
          <w:szCs w:val="24"/>
        </w:rPr>
        <w:t xml:space="preserve"> </w:t>
      </w:r>
      <w:r w:rsidR="002A7994" w:rsidRPr="00F101A0">
        <w:rPr>
          <w:rFonts w:ascii="Arial" w:hAnsi="Arial" w:cs="Arial"/>
          <w:sz w:val="24"/>
          <w:szCs w:val="24"/>
        </w:rPr>
        <w:t>Ezron Chirambo</w:t>
      </w:r>
      <w:r w:rsidRPr="00F101A0">
        <w:rPr>
          <w:rFonts w:ascii="Arial" w:hAnsi="Arial" w:cs="Arial"/>
          <w:sz w:val="24"/>
          <w:szCs w:val="24"/>
        </w:rPr>
        <w:t xml:space="preserve">, </w:t>
      </w:r>
      <w:r w:rsidR="00541489" w:rsidRPr="00F101A0">
        <w:rPr>
          <w:rFonts w:ascii="Arial" w:hAnsi="Arial" w:cs="Arial"/>
          <w:sz w:val="24"/>
          <w:szCs w:val="24"/>
        </w:rPr>
        <w:t>Officer</w:t>
      </w:r>
      <w:r w:rsidR="00877CDA" w:rsidRPr="00F101A0">
        <w:rPr>
          <w:rFonts w:ascii="Arial" w:hAnsi="Arial" w:cs="Arial"/>
          <w:sz w:val="24"/>
          <w:szCs w:val="24"/>
        </w:rPr>
        <w:t xml:space="preserve"> for SADC Trade in Services at the Ministry of Trade and Industry</w:t>
      </w:r>
      <w:r w:rsidR="004F0B9E" w:rsidRPr="00F101A0">
        <w:rPr>
          <w:rFonts w:ascii="Arial" w:hAnsi="Arial" w:cs="Arial"/>
          <w:sz w:val="24"/>
          <w:szCs w:val="24"/>
        </w:rPr>
        <w:t>,</w:t>
      </w:r>
      <w:r w:rsidR="00FB2B21" w:rsidRPr="00F101A0">
        <w:rPr>
          <w:rFonts w:ascii="Arial" w:hAnsi="Arial" w:cs="Arial"/>
          <w:sz w:val="24"/>
          <w:szCs w:val="24"/>
        </w:rPr>
        <w:t xml:space="preserve"> Malawi</w:t>
      </w:r>
      <w:r w:rsidRPr="00F101A0">
        <w:rPr>
          <w:rFonts w:ascii="Arial" w:hAnsi="Arial" w:cs="Arial"/>
          <w:sz w:val="24"/>
          <w:szCs w:val="24"/>
        </w:rPr>
        <w:t>, presided</w:t>
      </w:r>
      <w:r w:rsidR="008A3BE8" w:rsidRPr="00F101A0">
        <w:rPr>
          <w:rFonts w:ascii="Arial" w:hAnsi="Arial" w:cs="Arial"/>
          <w:sz w:val="24"/>
          <w:szCs w:val="24"/>
        </w:rPr>
        <w:t xml:space="preserve"> </w:t>
      </w:r>
      <w:r w:rsidR="00461A03" w:rsidRPr="00F101A0">
        <w:rPr>
          <w:rFonts w:ascii="Arial" w:hAnsi="Arial" w:cs="Arial"/>
          <w:sz w:val="24"/>
          <w:szCs w:val="24"/>
        </w:rPr>
        <w:t xml:space="preserve">over </w:t>
      </w:r>
      <w:r w:rsidR="008A3BE8" w:rsidRPr="00F101A0">
        <w:rPr>
          <w:rFonts w:ascii="Arial" w:hAnsi="Arial" w:cs="Arial"/>
          <w:sz w:val="24"/>
          <w:szCs w:val="24"/>
        </w:rPr>
        <w:t>the meeting.</w:t>
      </w:r>
      <w:r w:rsidRPr="00F101A0">
        <w:rPr>
          <w:rFonts w:ascii="Arial" w:hAnsi="Arial" w:cs="Arial"/>
          <w:sz w:val="24"/>
          <w:szCs w:val="24"/>
        </w:rPr>
        <w:t xml:space="preserve"> </w:t>
      </w:r>
    </w:p>
    <w:p w14:paraId="5135B3C6" w14:textId="77777777" w:rsidR="00BB3711" w:rsidRPr="00F101A0" w:rsidRDefault="00BB3711" w:rsidP="000953A4">
      <w:pPr>
        <w:pStyle w:val="ListParagraph"/>
        <w:spacing w:after="0" w:line="312" w:lineRule="auto"/>
        <w:rPr>
          <w:rFonts w:ascii="Arial" w:hAnsi="Arial" w:cs="Arial"/>
          <w:sz w:val="24"/>
          <w:szCs w:val="24"/>
        </w:rPr>
      </w:pPr>
    </w:p>
    <w:p w14:paraId="79C9E3D1" w14:textId="158475FD" w:rsidR="00BB3711" w:rsidRPr="00F101A0" w:rsidRDefault="00BB3711" w:rsidP="000953A4">
      <w:pPr>
        <w:pStyle w:val="ListParagraph"/>
        <w:numPr>
          <w:ilvl w:val="1"/>
          <w:numId w:val="1"/>
        </w:numPr>
        <w:tabs>
          <w:tab w:val="left" w:pos="1170"/>
        </w:tabs>
        <w:spacing w:after="0" w:line="312" w:lineRule="auto"/>
        <w:ind w:left="851" w:hanging="851"/>
        <w:jc w:val="both"/>
        <w:rPr>
          <w:rFonts w:ascii="Arial" w:hAnsi="Arial" w:cs="Arial"/>
          <w:sz w:val="24"/>
          <w:szCs w:val="24"/>
        </w:rPr>
      </w:pPr>
      <w:r w:rsidRPr="00F101A0">
        <w:rPr>
          <w:rFonts w:ascii="Arial" w:hAnsi="Arial" w:cs="Arial"/>
          <w:sz w:val="24"/>
          <w:szCs w:val="24"/>
        </w:rPr>
        <w:t xml:space="preserve">Mr. </w:t>
      </w:r>
      <w:r w:rsidR="00086FB4" w:rsidRPr="00F101A0">
        <w:rPr>
          <w:rFonts w:ascii="Arial" w:hAnsi="Arial" w:cs="Arial"/>
          <w:sz w:val="24"/>
          <w:szCs w:val="24"/>
        </w:rPr>
        <w:t xml:space="preserve">Chirambo </w:t>
      </w:r>
      <w:r w:rsidR="003A0D50" w:rsidRPr="00F101A0">
        <w:rPr>
          <w:rFonts w:ascii="Arial" w:hAnsi="Arial" w:cs="Arial"/>
          <w:sz w:val="24"/>
          <w:szCs w:val="24"/>
        </w:rPr>
        <w:t>reminde</w:t>
      </w:r>
      <w:r w:rsidR="00B655A3" w:rsidRPr="00F101A0">
        <w:rPr>
          <w:rFonts w:ascii="Arial" w:hAnsi="Arial" w:cs="Arial"/>
          <w:sz w:val="24"/>
          <w:szCs w:val="24"/>
        </w:rPr>
        <w:t>d</w:t>
      </w:r>
      <w:r w:rsidR="003A0D50" w:rsidRPr="00F101A0">
        <w:rPr>
          <w:rFonts w:ascii="Arial" w:hAnsi="Arial" w:cs="Arial"/>
          <w:sz w:val="24"/>
          <w:szCs w:val="24"/>
        </w:rPr>
        <w:t xml:space="preserve"> the meeting of the </w:t>
      </w:r>
      <w:r w:rsidR="00B655A3" w:rsidRPr="00F101A0">
        <w:rPr>
          <w:rFonts w:ascii="Arial" w:hAnsi="Arial" w:cs="Arial"/>
          <w:sz w:val="24"/>
          <w:szCs w:val="24"/>
        </w:rPr>
        <w:t>importance</w:t>
      </w:r>
      <w:r w:rsidR="003A0D50" w:rsidRPr="00F101A0">
        <w:rPr>
          <w:rFonts w:ascii="Arial" w:hAnsi="Arial" w:cs="Arial"/>
          <w:sz w:val="24"/>
          <w:szCs w:val="24"/>
        </w:rPr>
        <w:t xml:space="preserve"> of discussing </w:t>
      </w:r>
      <w:r w:rsidR="004F0B9E" w:rsidRPr="00F101A0">
        <w:rPr>
          <w:rFonts w:ascii="Arial" w:hAnsi="Arial" w:cs="Arial"/>
          <w:sz w:val="24"/>
          <w:szCs w:val="24"/>
        </w:rPr>
        <w:t xml:space="preserve">the draft </w:t>
      </w:r>
      <w:r w:rsidR="00CB7005" w:rsidRPr="00F101A0">
        <w:rPr>
          <w:rFonts w:ascii="Arial" w:hAnsi="Arial" w:cs="Arial"/>
          <w:sz w:val="24"/>
          <w:szCs w:val="24"/>
        </w:rPr>
        <w:t>Guidelines</w:t>
      </w:r>
      <w:r w:rsidR="004F0B9E" w:rsidRPr="00F101A0">
        <w:rPr>
          <w:rFonts w:ascii="Arial" w:hAnsi="Arial" w:cs="Arial"/>
          <w:sz w:val="24"/>
          <w:szCs w:val="24"/>
        </w:rPr>
        <w:t>, given that the African Continental Free Trade Area (AfCFTA) trade in services negotiations were at a point</w:t>
      </w:r>
      <w:r w:rsidR="00C006E1" w:rsidRPr="00F101A0">
        <w:rPr>
          <w:rFonts w:ascii="Arial" w:hAnsi="Arial" w:cs="Arial"/>
          <w:sz w:val="24"/>
          <w:szCs w:val="24"/>
        </w:rPr>
        <w:t xml:space="preserve"> </w:t>
      </w:r>
      <w:r w:rsidR="00B655A3" w:rsidRPr="00F101A0">
        <w:rPr>
          <w:rFonts w:ascii="Arial" w:hAnsi="Arial" w:cs="Arial"/>
          <w:sz w:val="24"/>
          <w:szCs w:val="24"/>
        </w:rPr>
        <w:t xml:space="preserve">where a </w:t>
      </w:r>
      <w:r w:rsidR="00517CF7" w:rsidRPr="00F101A0">
        <w:rPr>
          <w:rFonts w:ascii="Arial" w:hAnsi="Arial" w:cs="Arial"/>
          <w:sz w:val="24"/>
          <w:szCs w:val="24"/>
        </w:rPr>
        <w:t>similar ex</w:t>
      </w:r>
      <w:r w:rsidR="00B655A3" w:rsidRPr="00F101A0">
        <w:rPr>
          <w:rFonts w:ascii="Arial" w:hAnsi="Arial" w:cs="Arial"/>
          <w:sz w:val="24"/>
          <w:szCs w:val="24"/>
        </w:rPr>
        <w:t>er</w:t>
      </w:r>
      <w:r w:rsidR="00517CF7" w:rsidRPr="00F101A0">
        <w:rPr>
          <w:rFonts w:ascii="Arial" w:hAnsi="Arial" w:cs="Arial"/>
          <w:sz w:val="24"/>
          <w:szCs w:val="24"/>
        </w:rPr>
        <w:t>cise was</w:t>
      </w:r>
      <w:r w:rsidR="00B655A3" w:rsidRPr="00F101A0">
        <w:rPr>
          <w:rFonts w:ascii="Arial" w:hAnsi="Arial" w:cs="Arial"/>
          <w:sz w:val="24"/>
          <w:szCs w:val="24"/>
        </w:rPr>
        <w:t xml:space="preserve"> being</w:t>
      </w:r>
      <w:r w:rsidR="00517CF7" w:rsidRPr="00F101A0">
        <w:rPr>
          <w:rFonts w:ascii="Arial" w:hAnsi="Arial" w:cs="Arial"/>
          <w:sz w:val="24"/>
          <w:szCs w:val="24"/>
        </w:rPr>
        <w:t xml:space="preserve"> under</w:t>
      </w:r>
      <w:r w:rsidR="00B655A3" w:rsidRPr="00F101A0">
        <w:rPr>
          <w:rFonts w:ascii="Arial" w:hAnsi="Arial" w:cs="Arial"/>
          <w:sz w:val="24"/>
          <w:szCs w:val="24"/>
        </w:rPr>
        <w:t>taken</w:t>
      </w:r>
      <w:r w:rsidR="004F0B9E" w:rsidRPr="00F101A0">
        <w:rPr>
          <w:rFonts w:ascii="Arial" w:hAnsi="Arial" w:cs="Arial"/>
          <w:sz w:val="24"/>
          <w:szCs w:val="24"/>
        </w:rPr>
        <w:t>.  When</w:t>
      </w:r>
      <w:r w:rsidR="006B10B4" w:rsidRPr="00F101A0">
        <w:rPr>
          <w:rFonts w:ascii="Arial" w:hAnsi="Arial" w:cs="Arial"/>
          <w:sz w:val="24"/>
          <w:szCs w:val="24"/>
        </w:rPr>
        <w:t xml:space="preserve"> making contributions</w:t>
      </w:r>
      <w:r w:rsidR="004E01C7" w:rsidRPr="00F101A0">
        <w:rPr>
          <w:rFonts w:ascii="Arial" w:hAnsi="Arial" w:cs="Arial"/>
          <w:sz w:val="24"/>
          <w:szCs w:val="24"/>
        </w:rPr>
        <w:t xml:space="preserve">, participants </w:t>
      </w:r>
      <w:r w:rsidR="004F0B9E" w:rsidRPr="00F101A0">
        <w:rPr>
          <w:rFonts w:ascii="Arial" w:hAnsi="Arial" w:cs="Arial"/>
          <w:sz w:val="24"/>
          <w:szCs w:val="24"/>
        </w:rPr>
        <w:t>should therefore</w:t>
      </w:r>
      <w:r w:rsidR="004E01C7" w:rsidRPr="00F101A0">
        <w:rPr>
          <w:rFonts w:ascii="Arial" w:hAnsi="Arial" w:cs="Arial"/>
          <w:sz w:val="24"/>
          <w:szCs w:val="24"/>
        </w:rPr>
        <w:t xml:space="preserve"> </w:t>
      </w:r>
      <w:r w:rsidR="00F13D8A" w:rsidRPr="00F101A0">
        <w:rPr>
          <w:rFonts w:ascii="Arial" w:hAnsi="Arial" w:cs="Arial"/>
          <w:sz w:val="24"/>
          <w:szCs w:val="24"/>
        </w:rPr>
        <w:t xml:space="preserve">bear in mind that </w:t>
      </w:r>
      <w:r w:rsidR="004F0B9E" w:rsidRPr="00F101A0">
        <w:rPr>
          <w:rFonts w:ascii="Arial" w:hAnsi="Arial" w:cs="Arial"/>
          <w:sz w:val="24"/>
          <w:szCs w:val="24"/>
        </w:rPr>
        <w:t xml:space="preserve">the </w:t>
      </w:r>
      <w:r w:rsidR="00F13D8A" w:rsidRPr="00F101A0">
        <w:rPr>
          <w:rFonts w:ascii="Arial" w:hAnsi="Arial" w:cs="Arial"/>
          <w:sz w:val="24"/>
          <w:szCs w:val="24"/>
        </w:rPr>
        <w:t xml:space="preserve">SADC region </w:t>
      </w:r>
      <w:r w:rsidR="004E01C7" w:rsidRPr="00F101A0">
        <w:rPr>
          <w:rFonts w:ascii="Arial" w:hAnsi="Arial" w:cs="Arial"/>
          <w:sz w:val="24"/>
          <w:szCs w:val="24"/>
        </w:rPr>
        <w:t xml:space="preserve">would have to </w:t>
      </w:r>
      <w:r w:rsidR="00F13D8A" w:rsidRPr="00F101A0">
        <w:rPr>
          <w:rFonts w:ascii="Arial" w:hAnsi="Arial" w:cs="Arial"/>
          <w:sz w:val="24"/>
          <w:szCs w:val="24"/>
        </w:rPr>
        <w:t xml:space="preserve">be more liberal </w:t>
      </w:r>
      <w:r w:rsidR="0061081F" w:rsidRPr="00F101A0">
        <w:rPr>
          <w:rFonts w:ascii="Arial" w:hAnsi="Arial" w:cs="Arial"/>
          <w:sz w:val="24"/>
          <w:szCs w:val="24"/>
        </w:rPr>
        <w:t xml:space="preserve">to allow service providers to work within the borders of the </w:t>
      </w:r>
      <w:r w:rsidR="00536C24">
        <w:rPr>
          <w:rFonts w:ascii="Arial" w:hAnsi="Arial" w:cs="Arial"/>
          <w:sz w:val="24"/>
          <w:szCs w:val="24"/>
        </w:rPr>
        <w:t xml:space="preserve">SADC </w:t>
      </w:r>
      <w:r w:rsidR="0061081F" w:rsidRPr="00F101A0">
        <w:rPr>
          <w:rFonts w:ascii="Arial" w:hAnsi="Arial" w:cs="Arial"/>
          <w:sz w:val="24"/>
          <w:szCs w:val="24"/>
        </w:rPr>
        <w:t>region</w:t>
      </w:r>
      <w:r w:rsidR="004F0B9E" w:rsidRPr="00F101A0">
        <w:rPr>
          <w:rFonts w:ascii="Arial" w:hAnsi="Arial" w:cs="Arial"/>
          <w:sz w:val="24"/>
          <w:szCs w:val="24"/>
        </w:rPr>
        <w:t>,</w:t>
      </w:r>
      <w:r w:rsidR="0061081F" w:rsidRPr="00F101A0">
        <w:rPr>
          <w:rFonts w:ascii="Arial" w:hAnsi="Arial" w:cs="Arial"/>
          <w:sz w:val="24"/>
          <w:szCs w:val="24"/>
        </w:rPr>
        <w:t xml:space="preserve"> </w:t>
      </w:r>
      <w:r w:rsidR="004E01C7" w:rsidRPr="00F101A0">
        <w:rPr>
          <w:rFonts w:ascii="Arial" w:hAnsi="Arial" w:cs="Arial"/>
          <w:sz w:val="24"/>
          <w:szCs w:val="24"/>
        </w:rPr>
        <w:t xml:space="preserve">and the discussions </w:t>
      </w:r>
      <w:r w:rsidR="004F0B9E" w:rsidRPr="00F101A0">
        <w:rPr>
          <w:rFonts w:ascii="Arial" w:hAnsi="Arial" w:cs="Arial"/>
          <w:sz w:val="24"/>
          <w:szCs w:val="24"/>
        </w:rPr>
        <w:t>should</w:t>
      </w:r>
      <w:r w:rsidR="004E01C7" w:rsidRPr="00F101A0">
        <w:rPr>
          <w:rFonts w:ascii="Arial" w:hAnsi="Arial" w:cs="Arial"/>
          <w:sz w:val="24"/>
          <w:szCs w:val="24"/>
        </w:rPr>
        <w:t xml:space="preserve"> be </w:t>
      </w:r>
      <w:r w:rsidR="004F0B9E" w:rsidRPr="00F101A0">
        <w:rPr>
          <w:rFonts w:ascii="Arial" w:hAnsi="Arial" w:cs="Arial"/>
          <w:sz w:val="24"/>
          <w:szCs w:val="24"/>
        </w:rPr>
        <w:t>treated as</w:t>
      </w:r>
      <w:r w:rsidR="004E01C7" w:rsidRPr="00F101A0">
        <w:rPr>
          <w:rFonts w:ascii="Arial" w:hAnsi="Arial" w:cs="Arial"/>
          <w:sz w:val="24"/>
          <w:szCs w:val="24"/>
        </w:rPr>
        <w:t xml:space="preserve"> </w:t>
      </w:r>
      <w:r w:rsidR="004F0B9E" w:rsidRPr="00F101A0">
        <w:rPr>
          <w:rFonts w:ascii="Arial" w:hAnsi="Arial" w:cs="Arial"/>
          <w:sz w:val="24"/>
          <w:szCs w:val="24"/>
        </w:rPr>
        <w:t>preparation</w:t>
      </w:r>
      <w:r w:rsidR="006F4C88" w:rsidRPr="00F101A0">
        <w:rPr>
          <w:rFonts w:ascii="Arial" w:hAnsi="Arial" w:cs="Arial"/>
          <w:sz w:val="24"/>
          <w:szCs w:val="24"/>
        </w:rPr>
        <w:t xml:space="preserve"> for the </w:t>
      </w:r>
      <w:r w:rsidR="004F0B9E" w:rsidRPr="00F101A0">
        <w:rPr>
          <w:rFonts w:ascii="Arial" w:hAnsi="Arial" w:cs="Arial"/>
          <w:sz w:val="24"/>
          <w:szCs w:val="24"/>
        </w:rPr>
        <w:t>negotiations</w:t>
      </w:r>
      <w:r w:rsidR="006F4C88" w:rsidRPr="00F101A0">
        <w:rPr>
          <w:rFonts w:ascii="Arial" w:hAnsi="Arial" w:cs="Arial"/>
          <w:sz w:val="24"/>
          <w:szCs w:val="24"/>
        </w:rPr>
        <w:t xml:space="preserve"> to be </w:t>
      </w:r>
      <w:r w:rsidR="00536C24">
        <w:rPr>
          <w:rFonts w:ascii="Arial" w:hAnsi="Arial" w:cs="Arial"/>
          <w:sz w:val="24"/>
          <w:szCs w:val="24"/>
        </w:rPr>
        <w:t>conducted</w:t>
      </w:r>
      <w:r w:rsidR="006F4C88" w:rsidRPr="00F101A0">
        <w:rPr>
          <w:rFonts w:ascii="Arial" w:hAnsi="Arial" w:cs="Arial"/>
          <w:sz w:val="24"/>
          <w:szCs w:val="24"/>
        </w:rPr>
        <w:t xml:space="preserve"> on MRA issues at the AfCFTA level.</w:t>
      </w:r>
    </w:p>
    <w:p w14:paraId="70363208" w14:textId="77777777" w:rsidR="00957DE8" w:rsidRPr="00F101A0" w:rsidRDefault="00957DE8" w:rsidP="000953A4">
      <w:pPr>
        <w:pStyle w:val="ListParagraph"/>
        <w:tabs>
          <w:tab w:val="left" w:pos="1170"/>
        </w:tabs>
        <w:spacing w:after="0" w:line="312" w:lineRule="auto"/>
        <w:ind w:left="851" w:hanging="851"/>
        <w:jc w:val="both"/>
        <w:rPr>
          <w:rFonts w:ascii="Arial" w:hAnsi="Arial" w:cs="Arial"/>
          <w:sz w:val="24"/>
          <w:szCs w:val="24"/>
        </w:rPr>
      </w:pPr>
    </w:p>
    <w:p w14:paraId="072E2015" w14:textId="3A33E696" w:rsidR="00B41909" w:rsidRPr="00F101A0" w:rsidRDefault="001C74E7" w:rsidP="005A09D3">
      <w:pPr>
        <w:pStyle w:val="ListParagraph"/>
        <w:numPr>
          <w:ilvl w:val="1"/>
          <w:numId w:val="1"/>
        </w:numPr>
        <w:tabs>
          <w:tab w:val="left" w:pos="1170"/>
        </w:tabs>
        <w:spacing w:after="0" w:line="312" w:lineRule="auto"/>
        <w:ind w:left="851" w:hanging="851"/>
        <w:jc w:val="both"/>
        <w:rPr>
          <w:rFonts w:ascii="Arial" w:hAnsi="Arial" w:cs="Arial"/>
          <w:sz w:val="24"/>
          <w:szCs w:val="24"/>
        </w:rPr>
      </w:pPr>
      <w:r w:rsidRPr="00F101A0">
        <w:rPr>
          <w:rFonts w:ascii="Arial" w:hAnsi="Arial" w:cs="Arial"/>
          <w:sz w:val="24"/>
          <w:szCs w:val="24"/>
        </w:rPr>
        <w:t>Mr. Reinaldo E. J. Mendiate, Programme Officer – Multilateral Trade at the SADC Secretariat</w:t>
      </w:r>
      <w:r w:rsidR="004F0B9E" w:rsidRPr="00F101A0">
        <w:rPr>
          <w:rFonts w:ascii="Arial" w:hAnsi="Arial" w:cs="Arial"/>
          <w:sz w:val="24"/>
          <w:szCs w:val="24"/>
        </w:rPr>
        <w:t>,</w:t>
      </w:r>
      <w:r w:rsidRPr="00F101A0">
        <w:rPr>
          <w:rFonts w:ascii="Arial" w:hAnsi="Arial" w:cs="Arial"/>
          <w:sz w:val="24"/>
          <w:szCs w:val="24"/>
        </w:rPr>
        <w:t xml:space="preserve"> </w:t>
      </w:r>
      <w:r w:rsidR="0019746F" w:rsidRPr="00F101A0">
        <w:rPr>
          <w:rFonts w:ascii="Arial" w:hAnsi="Arial" w:cs="Arial"/>
          <w:sz w:val="24"/>
          <w:szCs w:val="24"/>
        </w:rPr>
        <w:t xml:space="preserve">reminded </w:t>
      </w:r>
      <w:r w:rsidR="0038763B" w:rsidRPr="00F101A0">
        <w:rPr>
          <w:rFonts w:ascii="Arial" w:hAnsi="Arial" w:cs="Arial"/>
          <w:sz w:val="24"/>
          <w:szCs w:val="24"/>
        </w:rPr>
        <w:t>the meeting that the</w:t>
      </w:r>
      <w:r w:rsidRPr="00F101A0">
        <w:rPr>
          <w:rFonts w:ascii="Arial" w:hAnsi="Arial" w:cs="Arial"/>
          <w:sz w:val="24"/>
          <w:szCs w:val="24"/>
        </w:rPr>
        <w:t xml:space="preserve"> 45</w:t>
      </w:r>
      <w:r w:rsidRPr="00F101A0">
        <w:rPr>
          <w:rFonts w:ascii="Arial" w:hAnsi="Arial" w:cs="Arial"/>
          <w:sz w:val="24"/>
          <w:szCs w:val="24"/>
          <w:vertAlign w:val="superscript"/>
        </w:rPr>
        <w:t>th</w:t>
      </w:r>
      <w:r w:rsidRPr="00F101A0">
        <w:rPr>
          <w:rFonts w:ascii="Arial" w:hAnsi="Arial" w:cs="Arial"/>
          <w:sz w:val="24"/>
          <w:szCs w:val="24"/>
        </w:rPr>
        <w:t xml:space="preserve"> TNF-Services meeting </w:t>
      </w:r>
      <w:r w:rsidRPr="00F101A0">
        <w:rPr>
          <w:rFonts w:ascii="Arial" w:hAnsi="Arial" w:cs="Arial"/>
          <w:sz w:val="24"/>
          <w:szCs w:val="24"/>
        </w:rPr>
        <w:lastRenderedPageBreak/>
        <w:t xml:space="preserve">held in Johannesburg, South Africa, </w:t>
      </w:r>
      <w:r w:rsidR="004F0B9E" w:rsidRPr="00F101A0">
        <w:rPr>
          <w:rFonts w:ascii="Arial" w:hAnsi="Arial" w:cs="Arial"/>
          <w:sz w:val="24"/>
          <w:szCs w:val="24"/>
        </w:rPr>
        <w:t>on</w:t>
      </w:r>
      <w:r w:rsidRPr="00F101A0">
        <w:rPr>
          <w:rFonts w:ascii="Arial" w:hAnsi="Arial" w:cs="Arial"/>
          <w:sz w:val="24"/>
          <w:szCs w:val="24"/>
        </w:rPr>
        <w:t xml:space="preserve"> 27-29 April 2023</w:t>
      </w:r>
      <w:r w:rsidR="004F0B9E" w:rsidRPr="00F101A0">
        <w:rPr>
          <w:rFonts w:ascii="Arial" w:hAnsi="Arial" w:cs="Arial"/>
          <w:sz w:val="24"/>
          <w:szCs w:val="24"/>
        </w:rPr>
        <w:t>,</w:t>
      </w:r>
      <w:r w:rsidR="004210A9" w:rsidRPr="00F101A0">
        <w:rPr>
          <w:rFonts w:ascii="Arial" w:hAnsi="Arial" w:cs="Arial"/>
          <w:sz w:val="24"/>
          <w:szCs w:val="24"/>
        </w:rPr>
        <w:t xml:space="preserve"> </w:t>
      </w:r>
      <w:r w:rsidR="00536C24">
        <w:rPr>
          <w:rFonts w:ascii="Arial" w:hAnsi="Arial" w:cs="Arial"/>
          <w:sz w:val="24"/>
          <w:szCs w:val="24"/>
        </w:rPr>
        <w:t xml:space="preserve">had </w:t>
      </w:r>
      <w:r w:rsidRPr="00F101A0">
        <w:rPr>
          <w:rFonts w:ascii="Arial" w:hAnsi="Arial" w:cs="Arial"/>
          <w:sz w:val="24"/>
          <w:szCs w:val="24"/>
        </w:rPr>
        <w:t xml:space="preserve">agreed to </w:t>
      </w:r>
      <w:r w:rsidR="00461A03" w:rsidRPr="00F101A0">
        <w:rPr>
          <w:rFonts w:ascii="Arial" w:hAnsi="Arial" w:cs="Arial"/>
          <w:sz w:val="24"/>
          <w:szCs w:val="24"/>
        </w:rPr>
        <w:t xml:space="preserve">convene virtually for </w:t>
      </w:r>
      <w:r w:rsidRPr="00F101A0">
        <w:rPr>
          <w:rFonts w:ascii="Arial" w:hAnsi="Arial" w:cs="Arial"/>
          <w:sz w:val="24"/>
          <w:szCs w:val="24"/>
        </w:rPr>
        <w:t xml:space="preserve">two </w:t>
      </w:r>
      <w:r w:rsidR="00461A03" w:rsidRPr="00F101A0">
        <w:rPr>
          <w:rFonts w:ascii="Arial" w:hAnsi="Arial" w:cs="Arial"/>
          <w:sz w:val="24"/>
          <w:szCs w:val="24"/>
        </w:rPr>
        <w:t>dedicated sessions</w:t>
      </w:r>
      <w:r w:rsidRPr="00F101A0">
        <w:rPr>
          <w:rFonts w:ascii="Arial" w:hAnsi="Arial" w:cs="Arial"/>
          <w:sz w:val="24"/>
          <w:szCs w:val="24"/>
        </w:rPr>
        <w:t xml:space="preserve"> to consider and </w:t>
      </w:r>
      <w:r w:rsidR="00461A03" w:rsidRPr="00F101A0">
        <w:rPr>
          <w:rFonts w:ascii="Arial" w:hAnsi="Arial" w:cs="Arial"/>
          <w:sz w:val="24"/>
          <w:szCs w:val="24"/>
        </w:rPr>
        <w:t xml:space="preserve">finalise </w:t>
      </w:r>
      <w:r w:rsidRPr="00F101A0">
        <w:rPr>
          <w:rFonts w:ascii="Arial" w:hAnsi="Arial" w:cs="Arial"/>
          <w:sz w:val="24"/>
          <w:szCs w:val="24"/>
        </w:rPr>
        <w:t xml:space="preserve">the </w:t>
      </w:r>
      <w:r w:rsidR="00461A03" w:rsidRPr="00F101A0">
        <w:rPr>
          <w:rFonts w:ascii="Arial" w:hAnsi="Arial" w:cs="Arial"/>
          <w:sz w:val="24"/>
          <w:szCs w:val="24"/>
        </w:rPr>
        <w:t>draft Guidelines</w:t>
      </w:r>
      <w:r w:rsidR="00331A4E" w:rsidRPr="00F101A0">
        <w:rPr>
          <w:rFonts w:ascii="Arial" w:hAnsi="Arial" w:cs="Arial"/>
          <w:sz w:val="24"/>
          <w:szCs w:val="24"/>
        </w:rPr>
        <w:t xml:space="preserve">. </w:t>
      </w:r>
      <w:r w:rsidR="00F86939" w:rsidRPr="00F101A0">
        <w:rPr>
          <w:rFonts w:ascii="Arial" w:hAnsi="Arial" w:cs="Arial"/>
          <w:sz w:val="24"/>
          <w:szCs w:val="24"/>
        </w:rPr>
        <w:t xml:space="preserve">It had been agreed </w:t>
      </w:r>
      <w:r w:rsidR="009354DF" w:rsidRPr="00F101A0">
        <w:rPr>
          <w:rFonts w:ascii="Arial" w:hAnsi="Arial" w:cs="Arial"/>
          <w:sz w:val="24"/>
          <w:szCs w:val="24"/>
        </w:rPr>
        <w:t xml:space="preserve">during this meeting </w:t>
      </w:r>
      <w:r w:rsidR="00F86939" w:rsidRPr="00F101A0">
        <w:rPr>
          <w:rFonts w:ascii="Arial" w:hAnsi="Arial" w:cs="Arial"/>
          <w:sz w:val="24"/>
          <w:szCs w:val="24"/>
        </w:rPr>
        <w:t xml:space="preserve">that </w:t>
      </w:r>
      <w:r w:rsidRPr="00F101A0">
        <w:rPr>
          <w:rFonts w:ascii="Arial" w:hAnsi="Arial" w:cs="Arial"/>
          <w:sz w:val="24"/>
          <w:szCs w:val="24"/>
        </w:rPr>
        <w:t xml:space="preserve">there was </w:t>
      </w:r>
      <w:r w:rsidR="00F86939" w:rsidRPr="00F101A0">
        <w:rPr>
          <w:rFonts w:ascii="Arial" w:hAnsi="Arial" w:cs="Arial"/>
          <w:sz w:val="24"/>
          <w:szCs w:val="24"/>
        </w:rPr>
        <w:t>need to fast-track negotiations on the draft Guideline</w:t>
      </w:r>
      <w:r w:rsidR="004F0B9E" w:rsidRPr="00F101A0">
        <w:rPr>
          <w:rFonts w:ascii="Arial" w:hAnsi="Arial" w:cs="Arial"/>
          <w:sz w:val="24"/>
          <w:szCs w:val="24"/>
        </w:rPr>
        <w:t>s</w:t>
      </w:r>
      <w:r w:rsidR="00F86939" w:rsidRPr="00F101A0">
        <w:rPr>
          <w:rFonts w:ascii="Arial" w:hAnsi="Arial" w:cs="Arial"/>
          <w:sz w:val="24"/>
          <w:szCs w:val="24"/>
        </w:rPr>
        <w:t xml:space="preserve"> with </w:t>
      </w:r>
      <w:r w:rsidR="009354DF" w:rsidRPr="00F101A0">
        <w:rPr>
          <w:rFonts w:ascii="Arial" w:hAnsi="Arial" w:cs="Arial"/>
          <w:sz w:val="24"/>
          <w:szCs w:val="24"/>
        </w:rPr>
        <w:t>a</w:t>
      </w:r>
      <w:r w:rsidR="00F86939" w:rsidRPr="00F101A0">
        <w:rPr>
          <w:rFonts w:ascii="Arial" w:hAnsi="Arial" w:cs="Arial"/>
          <w:sz w:val="24"/>
          <w:szCs w:val="24"/>
        </w:rPr>
        <w:t xml:space="preserve"> view to present</w:t>
      </w:r>
      <w:r w:rsidR="004F0B9E" w:rsidRPr="00F101A0">
        <w:rPr>
          <w:rFonts w:ascii="Arial" w:hAnsi="Arial" w:cs="Arial"/>
          <w:sz w:val="24"/>
          <w:szCs w:val="24"/>
        </w:rPr>
        <w:t>ing</w:t>
      </w:r>
      <w:r w:rsidR="00F86939" w:rsidRPr="00F101A0">
        <w:rPr>
          <w:rFonts w:ascii="Arial" w:hAnsi="Arial" w:cs="Arial"/>
          <w:sz w:val="24"/>
          <w:szCs w:val="24"/>
        </w:rPr>
        <w:t xml:space="preserve"> the final draft for adoption by the Committee of Ministers of Trade (CMT) at its meeting planned for June/July 2023. This </w:t>
      </w:r>
      <w:r w:rsidR="004F0B9E" w:rsidRPr="00F101A0">
        <w:rPr>
          <w:rFonts w:ascii="Arial" w:hAnsi="Arial" w:cs="Arial"/>
          <w:sz w:val="24"/>
          <w:szCs w:val="24"/>
        </w:rPr>
        <w:t>was</w:t>
      </w:r>
      <w:r w:rsidR="00F86939" w:rsidRPr="00F101A0">
        <w:rPr>
          <w:rFonts w:ascii="Arial" w:hAnsi="Arial" w:cs="Arial"/>
          <w:sz w:val="24"/>
          <w:szCs w:val="24"/>
        </w:rPr>
        <w:t xml:space="preserve"> important </w:t>
      </w:r>
      <w:r w:rsidR="004F0B9E" w:rsidRPr="00F101A0">
        <w:rPr>
          <w:rFonts w:ascii="Arial" w:hAnsi="Arial" w:cs="Arial"/>
          <w:sz w:val="24"/>
          <w:szCs w:val="24"/>
        </w:rPr>
        <w:t>given</w:t>
      </w:r>
      <w:r w:rsidR="00F86939" w:rsidRPr="00F101A0">
        <w:rPr>
          <w:rFonts w:ascii="Arial" w:hAnsi="Arial" w:cs="Arial"/>
          <w:sz w:val="24"/>
          <w:szCs w:val="24"/>
        </w:rPr>
        <w:t xml:space="preserve"> that </w:t>
      </w:r>
      <w:r w:rsidRPr="00F101A0">
        <w:rPr>
          <w:rFonts w:ascii="Arial" w:hAnsi="Arial" w:cs="Arial"/>
          <w:sz w:val="24"/>
          <w:szCs w:val="24"/>
        </w:rPr>
        <w:t xml:space="preserve">some professions </w:t>
      </w:r>
      <w:r w:rsidR="00536C24">
        <w:rPr>
          <w:rFonts w:ascii="Arial" w:hAnsi="Arial" w:cs="Arial"/>
          <w:sz w:val="24"/>
          <w:szCs w:val="24"/>
        </w:rPr>
        <w:t>were</w:t>
      </w:r>
      <w:r w:rsidR="00F86939" w:rsidRPr="00F101A0">
        <w:rPr>
          <w:rFonts w:ascii="Arial" w:hAnsi="Arial" w:cs="Arial"/>
          <w:sz w:val="24"/>
          <w:szCs w:val="24"/>
        </w:rPr>
        <w:t xml:space="preserve"> </w:t>
      </w:r>
      <w:r w:rsidR="004F0B9E" w:rsidRPr="00F101A0">
        <w:rPr>
          <w:rFonts w:ascii="Arial" w:hAnsi="Arial" w:cs="Arial"/>
          <w:sz w:val="24"/>
          <w:szCs w:val="24"/>
        </w:rPr>
        <w:t xml:space="preserve">already </w:t>
      </w:r>
      <w:r w:rsidR="00536C24">
        <w:rPr>
          <w:rFonts w:ascii="Arial" w:hAnsi="Arial" w:cs="Arial"/>
          <w:sz w:val="24"/>
          <w:szCs w:val="24"/>
        </w:rPr>
        <w:t>prepared</w:t>
      </w:r>
      <w:r w:rsidRPr="00F101A0">
        <w:rPr>
          <w:rFonts w:ascii="Arial" w:hAnsi="Arial" w:cs="Arial"/>
          <w:sz w:val="24"/>
          <w:szCs w:val="24"/>
        </w:rPr>
        <w:t xml:space="preserve"> to start negotiating MRAs</w:t>
      </w:r>
      <w:r w:rsidR="004F0B9E" w:rsidRPr="00F101A0">
        <w:rPr>
          <w:rFonts w:ascii="Arial" w:hAnsi="Arial" w:cs="Arial"/>
          <w:sz w:val="24"/>
          <w:szCs w:val="24"/>
        </w:rPr>
        <w:t xml:space="preserve"> for their sectors</w:t>
      </w:r>
      <w:r w:rsidRPr="00F101A0">
        <w:rPr>
          <w:rFonts w:ascii="Arial" w:hAnsi="Arial" w:cs="Arial"/>
          <w:sz w:val="24"/>
          <w:szCs w:val="24"/>
        </w:rPr>
        <w:t xml:space="preserve">, but </w:t>
      </w:r>
      <w:r w:rsidR="00F86939" w:rsidRPr="00F101A0">
        <w:rPr>
          <w:rFonts w:ascii="Arial" w:hAnsi="Arial" w:cs="Arial"/>
          <w:sz w:val="24"/>
          <w:szCs w:val="24"/>
        </w:rPr>
        <w:t>the</w:t>
      </w:r>
      <w:r w:rsidRPr="00F101A0">
        <w:rPr>
          <w:rFonts w:ascii="Arial" w:hAnsi="Arial" w:cs="Arial"/>
          <w:sz w:val="24"/>
          <w:szCs w:val="24"/>
        </w:rPr>
        <w:t xml:space="preserve"> </w:t>
      </w:r>
      <w:r w:rsidR="00F86939" w:rsidRPr="00F101A0">
        <w:rPr>
          <w:rFonts w:ascii="Arial" w:hAnsi="Arial" w:cs="Arial"/>
          <w:sz w:val="24"/>
          <w:szCs w:val="24"/>
        </w:rPr>
        <w:t>Guidelines</w:t>
      </w:r>
      <w:r w:rsidR="004F0B9E" w:rsidRPr="00F101A0">
        <w:rPr>
          <w:rFonts w:ascii="Arial" w:hAnsi="Arial" w:cs="Arial"/>
          <w:sz w:val="24"/>
          <w:szCs w:val="24"/>
        </w:rPr>
        <w:t xml:space="preserve"> were needed</w:t>
      </w:r>
      <w:r w:rsidRPr="00F101A0">
        <w:rPr>
          <w:rFonts w:ascii="Arial" w:hAnsi="Arial" w:cs="Arial"/>
          <w:sz w:val="24"/>
          <w:szCs w:val="24"/>
        </w:rPr>
        <w:t xml:space="preserve"> </w:t>
      </w:r>
      <w:r w:rsidR="00F86939" w:rsidRPr="00F101A0">
        <w:rPr>
          <w:rFonts w:ascii="Arial" w:hAnsi="Arial" w:cs="Arial"/>
          <w:sz w:val="24"/>
          <w:szCs w:val="24"/>
        </w:rPr>
        <w:t xml:space="preserve">to ensure consistency and alignment </w:t>
      </w:r>
      <w:r w:rsidR="004F0B9E" w:rsidRPr="00F101A0">
        <w:rPr>
          <w:rFonts w:ascii="Arial" w:hAnsi="Arial" w:cs="Arial"/>
          <w:sz w:val="24"/>
          <w:szCs w:val="24"/>
        </w:rPr>
        <w:t>with</w:t>
      </w:r>
      <w:r w:rsidR="00F86939" w:rsidRPr="00F101A0">
        <w:rPr>
          <w:rFonts w:ascii="Arial" w:hAnsi="Arial" w:cs="Arial"/>
          <w:sz w:val="24"/>
          <w:szCs w:val="24"/>
        </w:rPr>
        <w:t xml:space="preserve"> the requirement</w:t>
      </w:r>
      <w:r w:rsidR="004F0B9E" w:rsidRPr="00F101A0">
        <w:rPr>
          <w:rFonts w:ascii="Arial" w:hAnsi="Arial" w:cs="Arial"/>
          <w:sz w:val="24"/>
          <w:szCs w:val="24"/>
        </w:rPr>
        <w:t>s</w:t>
      </w:r>
      <w:r w:rsidR="00F86939" w:rsidRPr="00F101A0">
        <w:rPr>
          <w:rFonts w:ascii="Arial" w:hAnsi="Arial" w:cs="Arial"/>
          <w:sz w:val="24"/>
          <w:szCs w:val="24"/>
        </w:rPr>
        <w:t xml:space="preserve"> of the SADC Treaty and </w:t>
      </w:r>
      <w:r w:rsidR="00DA256F">
        <w:rPr>
          <w:rFonts w:ascii="Arial" w:hAnsi="Arial" w:cs="Arial"/>
          <w:sz w:val="24"/>
          <w:szCs w:val="24"/>
        </w:rPr>
        <w:t>o</w:t>
      </w:r>
      <w:r w:rsidR="00F86939" w:rsidRPr="00F101A0">
        <w:rPr>
          <w:rFonts w:ascii="Arial" w:hAnsi="Arial" w:cs="Arial"/>
          <w:sz w:val="24"/>
          <w:szCs w:val="24"/>
        </w:rPr>
        <w:t>the</w:t>
      </w:r>
      <w:r w:rsidR="00DA256F">
        <w:rPr>
          <w:rFonts w:ascii="Arial" w:hAnsi="Arial" w:cs="Arial"/>
          <w:sz w:val="24"/>
          <w:szCs w:val="24"/>
        </w:rPr>
        <w:t>r</w:t>
      </w:r>
      <w:r w:rsidR="00F86939" w:rsidRPr="00F101A0">
        <w:rPr>
          <w:rFonts w:ascii="Arial" w:hAnsi="Arial" w:cs="Arial"/>
          <w:sz w:val="24"/>
          <w:szCs w:val="24"/>
        </w:rPr>
        <w:t xml:space="preserve"> Protocol</w:t>
      </w:r>
      <w:r w:rsidR="00DA256F">
        <w:rPr>
          <w:rFonts w:ascii="Arial" w:hAnsi="Arial" w:cs="Arial"/>
          <w:sz w:val="24"/>
          <w:szCs w:val="24"/>
        </w:rPr>
        <w:t>s</w:t>
      </w:r>
      <w:r w:rsidR="004F0B9E" w:rsidRPr="00F101A0">
        <w:rPr>
          <w:rFonts w:ascii="Arial" w:hAnsi="Arial" w:cs="Arial"/>
          <w:sz w:val="24"/>
          <w:szCs w:val="24"/>
        </w:rPr>
        <w:t xml:space="preserve"> </w:t>
      </w:r>
      <w:r w:rsidR="00DA256F">
        <w:rPr>
          <w:rFonts w:ascii="Arial" w:hAnsi="Arial" w:cs="Arial"/>
          <w:sz w:val="24"/>
          <w:szCs w:val="24"/>
        </w:rPr>
        <w:t xml:space="preserve">including the Protocol </w:t>
      </w:r>
      <w:r w:rsidR="004F0B9E" w:rsidRPr="00F101A0">
        <w:rPr>
          <w:rFonts w:ascii="Arial" w:hAnsi="Arial" w:cs="Arial"/>
          <w:sz w:val="24"/>
          <w:szCs w:val="24"/>
        </w:rPr>
        <w:t>on Trade in Services</w:t>
      </w:r>
      <w:r w:rsidR="00F86939" w:rsidRPr="00F101A0">
        <w:rPr>
          <w:rFonts w:ascii="Arial" w:hAnsi="Arial" w:cs="Arial"/>
          <w:sz w:val="24"/>
          <w:szCs w:val="24"/>
        </w:rPr>
        <w:t xml:space="preserve">. </w:t>
      </w:r>
    </w:p>
    <w:p w14:paraId="0B76F373" w14:textId="77777777" w:rsidR="00852829" w:rsidRPr="00F101A0" w:rsidRDefault="00852829" w:rsidP="000953A4">
      <w:pPr>
        <w:pStyle w:val="ListParagraph"/>
        <w:spacing w:after="0" w:line="312" w:lineRule="auto"/>
        <w:rPr>
          <w:rFonts w:ascii="Arial" w:hAnsi="Arial" w:cs="Arial"/>
          <w:sz w:val="24"/>
          <w:szCs w:val="24"/>
        </w:rPr>
      </w:pPr>
    </w:p>
    <w:p w14:paraId="12C6E32A" w14:textId="35DD65AF" w:rsidR="00707473" w:rsidRPr="00F101A0" w:rsidRDefault="0086093C" w:rsidP="00F101A0">
      <w:pPr>
        <w:pStyle w:val="ListParagraph"/>
        <w:numPr>
          <w:ilvl w:val="1"/>
          <w:numId w:val="1"/>
        </w:numPr>
        <w:tabs>
          <w:tab w:val="left" w:pos="1170"/>
        </w:tabs>
        <w:spacing w:after="0" w:line="312" w:lineRule="auto"/>
        <w:ind w:left="851" w:hanging="851"/>
        <w:jc w:val="both"/>
        <w:rPr>
          <w:rFonts w:ascii="Arial" w:hAnsi="Arial" w:cs="Arial"/>
          <w:b/>
          <w:bCs/>
          <w:sz w:val="24"/>
          <w:szCs w:val="24"/>
        </w:rPr>
      </w:pPr>
      <w:r w:rsidRPr="00F101A0">
        <w:rPr>
          <w:rFonts w:ascii="Arial" w:hAnsi="Arial" w:cs="Arial"/>
          <w:sz w:val="24"/>
          <w:szCs w:val="24"/>
        </w:rPr>
        <w:t>Member States were</w:t>
      </w:r>
      <w:r w:rsidR="00502E9B" w:rsidRPr="00F101A0">
        <w:rPr>
          <w:rFonts w:ascii="Arial" w:hAnsi="Arial" w:cs="Arial"/>
          <w:sz w:val="24"/>
          <w:szCs w:val="24"/>
        </w:rPr>
        <w:t xml:space="preserve"> informed that the first dedicated session</w:t>
      </w:r>
      <w:r w:rsidR="00FB6748" w:rsidRPr="00F101A0">
        <w:rPr>
          <w:rFonts w:ascii="Arial" w:hAnsi="Arial" w:cs="Arial"/>
          <w:sz w:val="24"/>
          <w:szCs w:val="24"/>
        </w:rPr>
        <w:t xml:space="preserve"> </w:t>
      </w:r>
      <w:r w:rsidR="009354DF" w:rsidRPr="00F101A0">
        <w:rPr>
          <w:rFonts w:ascii="Arial" w:hAnsi="Arial" w:cs="Arial"/>
          <w:sz w:val="24"/>
          <w:szCs w:val="24"/>
        </w:rPr>
        <w:t>had</w:t>
      </w:r>
      <w:r w:rsidR="00502E9B" w:rsidRPr="00F101A0">
        <w:rPr>
          <w:rFonts w:ascii="Arial" w:hAnsi="Arial" w:cs="Arial"/>
          <w:sz w:val="24"/>
          <w:szCs w:val="24"/>
        </w:rPr>
        <w:t xml:space="preserve"> not achieve</w:t>
      </w:r>
      <w:r w:rsidR="009354DF" w:rsidRPr="00F101A0">
        <w:rPr>
          <w:rFonts w:ascii="Arial" w:hAnsi="Arial" w:cs="Arial"/>
          <w:sz w:val="24"/>
          <w:szCs w:val="24"/>
        </w:rPr>
        <w:t>d</w:t>
      </w:r>
      <w:r w:rsidR="00502E9B" w:rsidRPr="00F101A0">
        <w:rPr>
          <w:rFonts w:ascii="Arial" w:hAnsi="Arial" w:cs="Arial"/>
          <w:sz w:val="24"/>
          <w:szCs w:val="24"/>
        </w:rPr>
        <w:t xml:space="preserve"> the required quorum of eleven Member States</w:t>
      </w:r>
      <w:r w:rsidR="009354DF" w:rsidRPr="00F101A0">
        <w:rPr>
          <w:rFonts w:ascii="Arial" w:hAnsi="Arial" w:cs="Arial"/>
          <w:sz w:val="24"/>
          <w:szCs w:val="24"/>
        </w:rPr>
        <w:t xml:space="preserve"> and that the session had proceeded as a consultative meeting</w:t>
      </w:r>
      <w:r w:rsidRPr="00F101A0">
        <w:rPr>
          <w:rFonts w:ascii="Arial" w:hAnsi="Arial" w:cs="Arial"/>
          <w:sz w:val="24"/>
          <w:szCs w:val="24"/>
        </w:rPr>
        <w:t>. The Secretariat reiterated that</w:t>
      </w:r>
      <w:r w:rsidR="009354DF" w:rsidRPr="00F101A0">
        <w:rPr>
          <w:rFonts w:ascii="Arial" w:hAnsi="Arial" w:cs="Arial"/>
          <w:sz w:val="24"/>
          <w:szCs w:val="24"/>
        </w:rPr>
        <w:t>,</w:t>
      </w:r>
      <w:r w:rsidRPr="00F101A0">
        <w:rPr>
          <w:rFonts w:ascii="Arial" w:hAnsi="Arial" w:cs="Arial"/>
          <w:sz w:val="24"/>
          <w:szCs w:val="24"/>
        </w:rPr>
        <w:t xml:space="preserve"> in line with SADC procedures, Member States may not take decisions </w:t>
      </w:r>
      <w:r w:rsidR="00536C24">
        <w:rPr>
          <w:rFonts w:ascii="Arial" w:hAnsi="Arial" w:cs="Arial"/>
          <w:sz w:val="24"/>
          <w:szCs w:val="24"/>
        </w:rPr>
        <w:t xml:space="preserve">in such a meeting </w:t>
      </w:r>
      <w:r w:rsidRPr="00F101A0">
        <w:rPr>
          <w:rFonts w:ascii="Arial" w:hAnsi="Arial" w:cs="Arial"/>
          <w:sz w:val="24"/>
          <w:szCs w:val="24"/>
        </w:rPr>
        <w:t xml:space="preserve">and the results thereof would be presented for consideration at </w:t>
      </w:r>
      <w:r w:rsidR="00536C24">
        <w:rPr>
          <w:rFonts w:ascii="Arial" w:hAnsi="Arial" w:cs="Arial"/>
          <w:sz w:val="24"/>
          <w:szCs w:val="24"/>
        </w:rPr>
        <w:t>a</w:t>
      </w:r>
      <w:r w:rsidRPr="00F101A0">
        <w:rPr>
          <w:rFonts w:ascii="Arial" w:hAnsi="Arial" w:cs="Arial"/>
          <w:sz w:val="24"/>
          <w:szCs w:val="24"/>
        </w:rPr>
        <w:t xml:space="preserve"> meeting that </w:t>
      </w:r>
      <w:r w:rsidR="009354DF" w:rsidRPr="00F101A0">
        <w:rPr>
          <w:rFonts w:ascii="Arial" w:hAnsi="Arial" w:cs="Arial"/>
          <w:sz w:val="24"/>
          <w:szCs w:val="24"/>
        </w:rPr>
        <w:t>has a</w:t>
      </w:r>
      <w:r w:rsidRPr="00F101A0">
        <w:rPr>
          <w:rFonts w:ascii="Arial" w:hAnsi="Arial" w:cs="Arial"/>
          <w:sz w:val="24"/>
          <w:szCs w:val="24"/>
        </w:rPr>
        <w:t xml:space="preserve"> fully constituted quorum.</w:t>
      </w:r>
    </w:p>
    <w:p w14:paraId="0D9B8F1E" w14:textId="651286B6" w:rsidR="003958EF" w:rsidRPr="00F101A0" w:rsidRDefault="003958EF" w:rsidP="00F101A0">
      <w:pPr>
        <w:pStyle w:val="ListParagraph"/>
        <w:numPr>
          <w:ilvl w:val="0"/>
          <w:numId w:val="1"/>
        </w:numPr>
        <w:tabs>
          <w:tab w:val="left" w:pos="1170"/>
        </w:tabs>
        <w:spacing w:before="240" w:after="0" w:line="312" w:lineRule="auto"/>
        <w:ind w:left="851" w:hanging="851"/>
        <w:rPr>
          <w:rFonts w:ascii="Arial" w:hAnsi="Arial" w:cs="Arial"/>
          <w:b/>
          <w:bCs/>
          <w:sz w:val="24"/>
          <w:szCs w:val="24"/>
        </w:rPr>
      </w:pPr>
      <w:r w:rsidRPr="00F101A0">
        <w:rPr>
          <w:rFonts w:ascii="Arial" w:hAnsi="Arial" w:cs="Arial"/>
          <w:b/>
          <w:bCs/>
          <w:sz w:val="24"/>
          <w:szCs w:val="24"/>
        </w:rPr>
        <w:t>ATTENDANCE AND QUORUM</w:t>
      </w:r>
    </w:p>
    <w:p w14:paraId="0A865759" w14:textId="77777777" w:rsidR="00B51246" w:rsidRPr="00F101A0" w:rsidRDefault="00B51246" w:rsidP="000953A4">
      <w:pPr>
        <w:pStyle w:val="PlainText"/>
        <w:spacing w:line="312" w:lineRule="auto"/>
        <w:rPr>
          <w:rFonts w:ascii="Arial" w:hAnsi="Arial" w:cs="Arial"/>
          <w:sz w:val="24"/>
          <w:szCs w:val="24"/>
        </w:rPr>
      </w:pPr>
    </w:p>
    <w:p w14:paraId="4CBE1F1E" w14:textId="08E5651A" w:rsidR="004C2CF7" w:rsidRPr="00F101A0" w:rsidRDefault="00B51246" w:rsidP="000953A4">
      <w:pPr>
        <w:pStyle w:val="ListParagraph"/>
        <w:numPr>
          <w:ilvl w:val="1"/>
          <w:numId w:val="1"/>
        </w:numPr>
        <w:tabs>
          <w:tab w:val="left" w:pos="851"/>
        </w:tabs>
        <w:spacing w:after="0" w:line="312" w:lineRule="auto"/>
        <w:ind w:left="851" w:hanging="851"/>
        <w:jc w:val="both"/>
        <w:rPr>
          <w:rFonts w:ascii="Arial" w:hAnsi="Arial" w:cs="Arial"/>
          <w:sz w:val="24"/>
          <w:szCs w:val="24"/>
        </w:rPr>
      </w:pPr>
      <w:r w:rsidRPr="00F101A0">
        <w:rPr>
          <w:rFonts w:ascii="Arial" w:hAnsi="Arial" w:cs="Arial"/>
          <w:sz w:val="24"/>
          <w:szCs w:val="24"/>
        </w:rPr>
        <w:t xml:space="preserve">The meeting was attended by </w:t>
      </w:r>
      <w:r w:rsidR="00451311" w:rsidRPr="00F101A0">
        <w:rPr>
          <w:rFonts w:ascii="Arial" w:hAnsi="Arial" w:cs="Arial"/>
          <w:sz w:val="24"/>
          <w:szCs w:val="24"/>
        </w:rPr>
        <w:t xml:space="preserve">ten </w:t>
      </w:r>
      <w:r w:rsidRPr="00F101A0">
        <w:rPr>
          <w:rFonts w:ascii="Arial" w:hAnsi="Arial" w:cs="Arial"/>
          <w:sz w:val="24"/>
          <w:szCs w:val="24"/>
        </w:rPr>
        <w:t>Member States</w:t>
      </w:r>
      <w:r w:rsidR="00451311" w:rsidRPr="00F101A0">
        <w:rPr>
          <w:rFonts w:ascii="Arial" w:hAnsi="Arial" w:cs="Arial"/>
          <w:sz w:val="24"/>
          <w:szCs w:val="24"/>
        </w:rPr>
        <w:t xml:space="preserve">, </w:t>
      </w:r>
      <w:r w:rsidR="00BA12BE" w:rsidRPr="00F101A0">
        <w:rPr>
          <w:rFonts w:ascii="Arial" w:hAnsi="Arial" w:cs="Arial"/>
          <w:sz w:val="24"/>
          <w:szCs w:val="24"/>
        </w:rPr>
        <w:t>namely</w:t>
      </w:r>
      <w:r w:rsidRPr="00F101A0">
        <w:rPr>
          <w:rFonts w:ascii="Arial" w:hAnsi="Arial" w:cs="Arial"/>
          <w:sz w:val="24"/>
          <w:szCs w:val="24"/>
        </w:rPr>
        <w:t xml:space="preserve">: </w:t>
      </w:r>
      <w:r w:rsidR="00F53FE3" w:rsidRPr="00F101A0">
        <w:rPr>
          <w:rFonts w:ascii="Arial" w:hAnsi="Arial" w:cs="Arial"/>
          <w:sz w:val="24"/>
          <w:szCs w:val="24"/>
        </w:rPr>
        <w:t xml:space="preserve">Botswana, </w:t>
      </w:r>
      <w:r w:rsidR="00464A38" w:rsidRPr="00F101A0">
        <w:rPr>
          <w:rFonts w:ascii="Arial" w:hAnsi="Arial" w:cs="Arial"/>
          <w:sz w:val="24"/>
          <w:szCs w:val="24"/>
        </w:rPr>
        <w:t xml:space="preserve">Eswatini, </w:t>
      </w:r>
      <w:r w:rsidR="00F53FE3" w:rsidRPr="00F101A0">
        <w:rPr>
          <w:rFonts w:ascii="Arial" w:hAnsi="Arial" w:cs="Arial"/>
          <w:sz w:val="24"/>
          <w:szCs w:val="24"/>
        </w:rPr>
        <w:t xml:space="preserve">Lesotho, </w:t>
      </w:r>
      <w:r w:rsidRPr="00F101A0">
        <w:rPr>
          <w:rFonts w:ascii="Arial" w:hAnsi="Arial" w:cs="Arial"/>
          <w:sz w:val="24"/>
          <w:szCs w:val="24"/>
        </w:rPr>
        <w:t xml:space="preserve">Malawi, </w:t>
      </w:r>
      <w:r w:rsidR="001D10D8" w:rsidRPr="00F101A0">
        <w:rPr>
          <w:rFonts w:ascii="Arial" w:hAnsi="Arial" w:cs="Arial"/>
          <w:sz w:val="24"/>
          <w:szCs w:val="24"/>
        </w:rPr>
        <w:t xml:space="preserve">Mauritius, </w:t>
      </w:r>
      <w:r w:rsidR="00A8207C" w:rsidRPr="00F101A0">
        <w:rPr>
          <w:rFonts w:ascii="Arial" w:hAnsi="Arial" w:cs="Arial"/>
          <w:sz w:val="24"/>
          <w:szCs w:val="24"/>
        </w:rPr>
        <w:t xml:space="preserve">Seychelles, </w:t>
      </w:r>
      <w:r w:rsidRPr="00F101A0">
        <w:rPr>
          <w:rFonts w:ascii="Arial" w:hAnsi="Arial" w:cs="Arial"/>
          <w:sz w:val="24"/>
          <w:szCs w:val="24"/>
        </w:rPr>
        <w:t>South Africa, Zambia, and Zimbabwe.</w:t>
      </w:r>
      <w:r w:rsidR="003D1C3C" w:rsidRPr="00F101A0">
        <w:rPr>
          <w:rFonts w:ascii="Arial" w:hAnsi="Arial" w:cs="Arial"/>
          <w:sz w:val="24"/>
          <w:szCs w:val="24"/>
        </w:rPr>
        <w:t xml:space="preserve"> </w:t>
      </w:r>
      <w:r w:rsidR="00607548">
        <w:rPr>
          <w:rFonts w:ascii="Arial" w:hAnsi="Arial" w:cs="Arial"/>
          <w:sz w:val="24"/>
          <w:szCs w:val="24"/>
        </w:rPr>
        <w:t>A</w:t>
      </w:r>
      <w:r w:rsidR="00DF6E1F" w:rsidRPr="00F101A0">
        <w:rPr>
          <w:rFonts w:ascii="Arial" w:hAnsi="Arial" w:cs="Arial"/>
          <w:sz w:val="24"/>
          <w:szCs w:val="24"/>
        </w:rPr>
        <w:t xml:space="preserve"> representative of the Pan African Federation of Accountants</w:t>
      </w:r>
      <w:r w:rsidR="00DA256F">
        <w:rPr>
          <w:rFonts w:ascii="Arial" w:hAnsi="Arial" w:cs="Arial"/>
          <w:sz w:val="24"/>
          <w:szCs w:val="24"/>
        </w:rPr>
        <w:t xml:space="preserve"> (PAFA)</w:t>
      </w:r>
      <w:r w:rsidR="00DF6E1F" w:rsidRPr="00F101A0">
        <w:rPr>
          <w:rFonts w:ascii="Arial" w:hAnsi="Arial" w:cs="Arial"/>
          <w:sz w:val="24"/>
          <w:szCs w:val="24"/>
        </w:rPr>
        <w:t xml:space="preserve"> </w:t>
      </w:r>
      <w:r w:rsidR="00607548">
        <w:rPr>
          <w:rFonts w:ascii="Arial" w:hAnsi="Arial" w:cs="Arial"/>
          <w:sz w:val="24"/>
          <w:szCs w:val="24"/>
        </w:rPr>
        <w:t xml:space="preserve">also </w:t>
      </w:r>
      <w:r w:rsidR="00DF6E1F" w:rsidRPr="00F101A0">
        <w:rPr>
          <w:rFonts w:ascii="Arial" w:hAnsi="Arial" w:cs="Arial"/>
          <w:sz w:val="24"/>
          <w:szCs w:val="24"/>
        </w:rPr>
        <w:t xml:space="preserve">attended the meeting while </w:t>
      </w:r>
      <w:r w:rsidR="003A4195" w:rsidRPr="00F101A0">
        <w:rPr>
          <w:rFonts w:ascii="Arial" w:hAnsi="Arial" w:cs="Arial"/>
          <w:sz w:val="24"/>
          <w:szCs w:val="24"/>
        </w:rPr>
        <w:t xml:space="preserve">the </w:t>
      </w:r>
      <w:r w:rsidR="003D1C3C" w:rsidRPr="00F101A0">
        <w:rPr>
          <w:rFonts w:ascii="Arial" w:hAnsi="Arial" w:cs="Arial"/>
          <w:sz w:val="24"/>
          <w:szCs w:val="24"/>
        </w:rPr>
        <w:t xml:space="preserve">Secretariat </w:t>
      </w:r>
      <w:r w:rsidR="003A4195" w:rsidRPr="00F101A0">
        <w:rPr>
          <w:rFonts w:ascii="Arial" w:hAnsi="Arial" w:cs="Arial"/>
          <w:sz w:val="24"/>
          <w:szCs w:val="24"/>
        </w:rPr>
        <w:t xml:space="preserve">was represented by officers from the </w:t>
      </w:r>
      <w:r w:rsidR="003D1C3C" w:rsidRPr="00F101A0">
        <w:rPr>
          <w:rFonts w:ascii="Arial" w:hAnsi="Arial" w:cs="Arial"/>
          <w:sz w:val="24"/>
          <w:szCs w:val="24"/>
        </w:rPr>
        <w:t>Directorate of Industrial Development and Trade and Legal Unit</w:t>
      </w:r>
      <w:r w:rsidR="004C2CF7" w:rsidRPr="00F101A0">
        <w:rPr>
          <w:rFonts w:ascii="Arial" w:hAnsi="Arial" w:cs="Arial"/>
          <w:sz w:val="24"/>
          <w:szCs w:val="24"/>
        </w:rPr>
        <w:t>.</w:t>
      </w:r>
      <w:r w:rsidRPr="00F101A0">
        <w:rPr>
          <w:rFonts w:ascii="Arial" w:hAnsi="Arial" w:cs="Arial"/>
          <w:sz w:val="24"/>
          <w:szCs w:val="24"/>
        </w:rPr>
        <w:t xml:space="preserve"> </w:t>
      </w:r>
      <w:r w:rsidR="00E35ABB" w:rsidRPr="00F101A0">
        <w:rPr>
          <w:rFonts w:ascii="Arial" w:hAnsi="Arial" w:cs="Arial"/>
          <w:sz w:val="24"/>
          <w:szCs w:val="24"/>
        </w:rPr>
        <w:t xml:space="preserve">A detailed list of participants is in Appendix I. </w:t>
      </w:r>
    </w:p>
    <w:p w14:paraId="053818B8" w14:textId="77777777" w:rsidR="009354DF" w:rsidRPr="00F101A0" w:rsidRDefault="009354DF" w:rsidP="009354DF">
      <w:pPr>
        <w:pStyle w:val="ListParagraph"/>
        <w:tabs>
          <w:tab w:val="left" w:pos="851"/>
        </w:tabs>
        <w:spacing w:after="0" w:line="312" w:lineRule="auto"/>
        <w:ind w:left="851"/>
        <w:jc w:val="both"/>
        <w:rPr>
          <w:rFonts w:ascii="Arial" w:hAnsi="Arial" w:cs="Arial"/>
          <w:sz w:val="24"/>
          <w:szCs w:val="24"/>
        </w:rPr>
      </w:pPr>
    </w:p>
    <w:p w14:paraId="05731263" w14:textId="2060952B" w:rsidR="009354DF" w:rsidRPr="00F101A0" w:rsidRDefault="00607548" w:rsidP="000953A4">
      <w:pPr>
        <w:pStyle w:val="ListParagraph"/>
        <w:numPr>
          <w:ilvl w:val="1"/>
          <w:numId w:val="1"/>
        </w:numPr>
        <w:tabs>
          <w:tab w:val="left" w:pos="851"/>
        </w:tabs>
        <w:spacing w:after="0" w:line="312" w:lineRule="auto"/>
        <w:ind w:left="851" w:hanging="851"/>
        <w:jc w:val="both"/>
        <w:rPr>
          <w:rFonts w:ascii="Arial" w:hAnsi="Arial" w:cs="Arial"/>
          <w:sz w:val="24"/>
          <w:szCs w:val="24"/>
        </w:rPr>
      </w:pPr>
      <w:r>
        <w:rPr>
          <w:rFonts w:ascii="Arial" w:hAnsi="Arial" w:cs="Arial"/>
          <w:sz w:val="24"/>
          <w:szCs w:val="24"/>
        </w:rPr>
        <w:t>A</w:t>
      </w:r>
      <w:r w:rsidR="009354DF" w:rsidRPr="00F101A0">
        <w:rPr>
          <w:rFonts w:ascii="Arial" w:hAnsi="Arial" w:cs="Arial"/>
          <w:sz w:val="24"/>
          <w:szCs w:val="24"/>
        </w:rPr>
        <w:t xml:space="preserve"> lack of a quorum </w:t>
      </w:r>
      <w:r>
        <w:rPr>
          <w:rFonts w:ascii="Arial" w:hAnsi="Arial" w:cs="Arial"/>
          <w:sz w:val="24"/>
          <w:szCs w:val="24"/>
        </w:rPr>
        <w:t xml:space="preserve">also </w:t>
      </w:r>
      <w:r w:rsidR="009354DF" w:rsidRPr="00F101A0">
        <w:rPr>
          <w:rFonts w:ascii="Arial" w:hAnsi="Arial" w:cs="Arial"/>
          <w:sz w:val="24"/>
          <w:szCs w:val="24"/>
        </w:rPr>
        <w:t xml:space="preserve">applied in respect of this second </w:t>
      </w:r>
      <w:r>
        <w:rPr>
          <w:rFonts w:ascii="Arial" w:hAnsi="Arial" w:cs="Arial"/>
          <w:sz w:val="24"/>
          <w:szCs w:val="24"/>
        </w:rPr>
        <w:t xml:space="preserve">dedicated </w:t>
      </w:r>
      <w:r w:rsidR="009354DF" w:rsidRPr="00F101A0">
        <w:rPr>
          <w:rFonts w:ascii="Arial" w:hAnsi="Arial" w:cs="Arial"/>
          <w:sz w:val="24"/>
          <w:szCs w:val="24"/>
        </w:rPr>
        <w:t xml:space="preserve">session.  </w:t>
      </w:r>
      <w:proofErr w:type="gramStart"/>
      <w:r w:rsidR="009354DF" w:rsidRPr="00F101A0">
        <w:rPr>
          <w:rFonts w:ascii="Arial" w:hAnsi="Arial" w:cs="Arial"/>
          <w:sz w:val="24"/>
          <w:szCs w:val="24"/>
        </w:rPr>
        <w:t>In light of</w:t>
      </w:r>
      <w:proofErr w:type="gramEnd"/>
      <w:r w:rsidR="009354DF" w:rsidRPr="00F101A0">
        <w:rPr>
          <w:rFonts w:ascii="Arial" w:hAnsi="Arial" w:cs="Arial"/>
          <w:sz w:val="24"/>
          <w:szCs w:val="24"/>
        </w:rPr>
        <w:t xml:space="preserve"> the Secretariat’s advice on procedure, Member States agreed to continue with the session as a consultative meeting.</w:t>
      </w:r>
    </w:p>
    <w:p w14:paraId="34BC8DE0" w14:textId="24877606" w:rsidR="004C2CF7" w:rsidRPr="00F101A0" w:rsidRDefault="004C2CF7" w:rsidP="000953A4">
      <w:pPr>
        <w:pStyle w:val="ListParagraph"/>
        <w:tabs>
          <w:tab w:val="left" w:pos="1170"/>
        </w:tabs>
        <w:spacing w:after="0" w:line="312" w:lineRule="auto"/>
        <w:ind w:left="1170"/>
        <w:jc w:val="both"/>
        <w:rPr>
          <w:rFonts w:ascii="Arial" w:hAnsi="Arial" w:cs="Arial"/>
          <w:sz w:val="24"/>
          <w:szCs w:val="24"/>
        </w:rPr>
      </w:pPr>
    </w:p>
    <w:p w14:paraId="537F6E35" w14:textId="7D98C324" w:rsidR="00703F7C" w:rsidRPr="00F101A0" w:rsidRDefault="00AE33EB" w:rsidP="009A18C3">
      <w:pPr>
        <w:pStyle w:val="ListParagraph"/>
        <w:numPr>
          <w:ilvl w:val="0"/>
          <w:numId w:val="1"/>
        </w:numPr>
        <w:spacing w:after="0" w:line="312" w:lineRule="auto"/>
        <w:ind w:left="851" w:hanging="851"/>
        <w:jc w:val="both"/>
        <w:rPr>
          <w:rFonts w:ascii="Arial" w:hAnsi="Arial" w:cs="Arial"/>
          <w:b/>
          <w:bCs/>
          <w:sz w:val="24"/>
          <w:szCs w:val="24"/>
        </w:rPr>
      </w:pPr>
      <w:r w:rsidRPr="00F101A0">
        <w:rPr>
          <w:rFonts w:ascii="Arial" w:hAnsi="Arial" w:cs="Arial"/>
          <w:b/>
          <w:bCs/>
          <w:sz w:val="24"/>
          <w:szCs w:val="24"/>
        </w:rPr>
        <w:t>CONSIDERATION OF THE DRAFT GUIDELINES FOR DEVELOPING SADC MRA</w:t>
      </w:r>
      <w:r w:rsidR="00543A77" w:rsidRPr="00F101A0">
        <w:rPr>
          <w:rFonts w:ascii="Arial" w:hAnsi="Arial" w:cs="Arial"/>
          <w:b/>
          <w:bCs/>
          <w:sz w:val="24"/>
          <w:szCs w:val="24"/>
        </w:rPr>
        <w:t>s</w:t>
      </w:r>
      <w:r w:rsidRPr="00F101A0">
        <w:rPr>
          <w:rFonts w:ascii="Arial" w:hAnsi="Arial" w:cs="Arial"/>
          <w:b/>
          <w:bCs/>
          <w:sz w:val="24"/>
          <w:szCs w:val="24"/>
        </w:rPr>
        <w:t xml:space="preserve"> FOR PROFESSIONAL SERVICES</w:t>
      </w:r>
    </w:p>
    <w:p w14:paraId="3A98FC98" w14:textId="61FDCCB6" w:rsidR="002278D9" w:rsidRPr="00F101A0" w:rsidRDefault="00AE33EB" w:rsidP="00143989">
      <w:pPr>
        <w:pStyle w:val="ListParagraph"/>
        <w:numPr>
          <w:ilvl w:val="1"/>
          <w:numId w:val="1"/>
        </w:numPr>
        <w:spacing w:before="240" w:after="0" w:line="312" w:lineRule="auto"/>
        <w:ind w:left="851" w:hanging="851"/>
        <w:jc w:val="both"/>
        <w:rPr>
          <w:rFonts w:ascii="Arial" w:hAnsi="Arial" w:cs="Arial"/>
          <w:sz w:val="24"/>
          <w:szCs w:val="24"/>
        </w:rPr>
      </w:pPr>
      <w:r w:rsidRPr="00F101A0">
        <w:rPr>
          <w:rFonts w:ascii="Arial" w:hAnsi="Arial" w:cs="Arial"/>
          <w:sz w:val="24"/>
          <w:szCs w:val="24"/>
        </w:rPr>
        <w:t xml:space="preserve">The meeting considered the </w:t>
      </w:r>
      <w:r w:rsidR="007D5C79" w:rsidRPr="00F101A0">
        <w:rPr>
          <w:rFonts w:ascii="Arial" w:hAnsi="Arial" w:cs="Arial"/>
          <w:sz w:val="24"/>
          <w:szCs w:val="24"/>
        </w:rPr>
        <w:t xml:space="preserve">draft Guidelines, paying particular attention to the </w:t>
      </w:r>
      <w:r w:rsidRPr="00F101A0">
        <w:rPr>
          <w:rFonts w:ascii="Arial" w:hAnsi="Arial" w:cs="Arial"/>
          <w:sz w:val="24"/>
          <w:szCs w:val="24"/>
        </w:rPr>
        <w:t xml:space="preserve">revisions made by the Secretariat </w:t>
      </w:r>
      <w:r w:rsidR="007D5C79" w:rsidRPr="00F101A0">
        <w:rPr>
          <w:rFonts w:ascii="Arial" w:hAnsi="Arial" w:cs="Arial"/>
          <w:sz w:val="24"/>
          <w:szCs w:val="24"/>
        </w:rPr>
        <w:t>to</w:t>
      </w:r>
      <w:r w:rsidRPr="00F101A0">
        <w:rPr>
          <w:rFonts w:ascii="Arial" w:hAnsi="Arial" w:cs="Arial"/>
          <w:sz w:val="24"/>
          <w:szCs w:val="24"/>
        </w:rPr>
        <w:t xml:space="preserve"> </w:t>
      </w:r>
      <w:r w:rsidR="007D5C79" w:rsidRPr="00F101A0">
        <w:rPr>
          <w:rFonts w:ascii="Arial" w:hAnsi="Arial" w:cs="Arial"/>
          <w:sz w:val="24"/>
          <w:szCs w:val="24"/>
        </w:rPr>
        <w:t xml:space="preserve">incorporate </w:t>
      </w:r>
      <w:r w:rsidRPr="00F101A0">
        <w:rPr>
          <w:rFonts w:ascii="Arial" w:hAnsi="Arial" w:cs="Arial"/>
          <w:sz w:val="24"/>
          <w:szCs w:val="24"/>
        </w:rPr>
        <w:t xml:space="preserve">Member States’ comments made at the </w:t>
      </w:r>
      <w:r w:rsidR="00703F7C" w:rsidRPr="00F101A0">
        <w:rPr>
          <w:rFonts w:ascii="Arial" w:hAnsi="Arial" w:cs="Arial"/>
          <w:sz w:val="24"/>
          <w:szCs w:val="24"/>
        </w:rPr>
        <w:t>first dedicated session</w:t>
      </w:r>
      <w:r w:rsidRPr="00F101A0">
        <w:rPr>
          <w:rFonts w:ascii="Arial" w:hAnsi="Arial" w:cs="Arial"/>
          <w:sz w:val="24"/>
          <w:szCs w:val="24"/>
        </w:rPr>
        <w:t xml:space="preserve">. The key revisions </w:t>
      </w:r>
      <w:r w:rsidR="00591DB8" w:rsidRPr="00F101A0">
        <w:rPr>
          <w:rFonts w:ascii="Arial" w:hAnsi="Arial" w:cs="Arial"/>
          <w:sz w:val="24"/>
          <w:szCs w:val="24"/>
        </w:rPr>
        <w:t xml:space="preserve">were </w:t>
      </w:r>
      <w:r w:rsidRPr="00F101A0">
        <w:rPr>
          <w:rFonts w:ascii="Arial" w:hAnsi="Arial" w:cs="Arial"/>
          <w:sz w:val="24"/>
          <w:szCs w:val="24"/>
        </w:rPr>
        <w:t xml:space="preserve">highlighted in document </w:t>
      </w:r>
      <w:r w:rsidRPr="00F101A0">
        <w:rPr>
          <w:rFonts w:ascii="Arial" w:hAnsi="Arial" w:cs="Arial"/>
          <w:b/>
          <w:bCs/>
          <w:sz w:val="24"/>
          <w:szCs w:val="24"/>
        </w:rPr>
        <w:t>SADC/TNF-Serv./45/2023/04/</w:t>
      </w:r>
      <w:r w:rsidRPr="00F101A0">
        <w:rPr>
          <w:rFonts w:ascii="Arial" w:hAnsi="Arial" w:cs="Arial"/>
          <w:b/>
          <w:bCs/>
          <w:sz w:val="24"/>
          <w:szCs w:val="24"/>
          <w:shd w:val="clear" w:color="auto" w:fill="FFFFFF" w:themeFill="background1"/>
        </w:rPr>
        <w:t>Rev</w:t>
      </w:r>
      <w:r w:rsidR="00630B05">
        <w:rPr>
          <w:rFonts w:ascii="Arial" w:hAnsi="Arial" w:cs="Arial"/>
          <w:b/>
          <w:bCs/>
          <w:sz w:val="24"/>
          <w:szCs w:val="24"/>
          <w:shd w:val="clear" w:color="auto" w:fill="FFFFFF" w:themeFill="background1"/>
        </w:rPr>
        <w:t>2</w:t>
      </w:r>
      <w:r w:rsidRPr="00F101A0">
        <w:rPr>
          <w:rFonts w:ascii="Arial" w:hAnsi="Arial" w:cs="Arial"/>
          <w:sz w:val="24"/>
          <w:szCs w:val="24"/>
        </w:rPr>
        <w:t xml:space="preserve">. </w:t>
      </w:r>
    </w:p>
    <w:p w14:paraId="5BDB7385" w14:textId="21815AE7" w:rsidR="00AE33EB" w:rsidRPr="00F101A0" w:rsidRDefault="00303017" w:rsidP="00143989">
      <w:pPr>
        <w:pStyle w:val="ListParagraph"/>
        <w:numPr>
          <w:ilvl w:val="1"/>
          <w:numId w:val="1"/>
        </w:numPr>
        <w:spacing w:before="240" w:after="0" w:line="312" w:lineRule="auto"/>
        <w:ind w:left="851" w:hanging="851"/>
        <w:jc w:val="both"/>
        <w:rPr>
          <w:rFonts w:ascii="Arial" w:hAnsi="Arial" w:cs="Arial"/>
          <w:sz w:val="24"/>
          <w:szCs w:val="24"/>
        </w:rPr>
      </w:pPr>
      <w:r w:rsidRPr="00F101A0">
        <w:rPr>
          <w:rFonts w:ascii="Arial" w:hAnsi="Arial" w:cs="Arial"/>
          <w:sz w:val="24"/>
          <w:szCs w:val="24"/>
        </w:rPr>
        <w:t xml:space="preserve">The </w:t>
      </w:r>
      <w:r w:rsidR="009A18C3" w:rsidRPr="00F101A0">
        <w:rPr>
          <w:rFonts w:ascii="Arial" w:hAnsi="Arial" w:cs="Arial"/>
          <w:sz w:val="24"/>
          <w:szCs w:val="24"/>
        </w:rPr>
        <w:t>meeting</w:t>
      </w:r>
      <w:r w:rsidRPr="00F101A0">
        <w:rPr>
          <w:rFonts w:ascii="Arial" w:hAnsi="Arial" w:cs="Arial"/>
          <w:sz w:val="24"/>
          <w:szCs w:val="24"/>
        </w:rPr>
        <w:t xml:space="preserve"> </w:t>
      </w:r>
      <w:r w:rsidR="009A18C3" w:rsidRPr="00F101A0">
        <w:rPr>
          <w:rFonts w:ascii="Arial" w:hAnsi="Arial" w:cs="Arial"/>
          <w:sz w:val="24"/>
          <w:szCs w:val="24"/>
        </w:rPr>
        <w:t xml:space="preserve">considered </w:t>
      </w:r>
      <w:r w:rsidRPr="00F101A0">
        <w:rPr>
          <w:rFonts w:ascii="Arial" w:hAnsi="Arial" w:cs="Arial"/>
          <w:sz w:val="24"/>
          <w:szCs w:val="24"/>
        </w:rPr>
        <w:t xml:space="preserve">the </w:t>
      </w:r>
      <w:r w:rsidR="008C64E2" w:rsidRPr="00F101A0">
        <w:rPr>
          <w:rFonts w:ascii="Arial" w:hAnsi="Arial" w:cs="Arial"/>
          <w:sz w:val="24"/>
          <w:szCs w:val="24"/>
        </w:rPr>
        <w:t>draft Guidelines</w:t>
      </w:r>
      <w:r w:rsidR="008B08C3" w:rsidRPr="00F101A0">
        <w:rPr>
          <w:rFonts w:ascii="Arial" w:hAnsi="Arial" w:cs="Arial"/>
          <w:sz w:val="24"/>
          <w:szCs w:val="24"/>
        </w:rPr>
        <w:t xml:space="preserve"> paragraph</w:t>
      </w:r>
      <w:r w:rsidR="009A18C3" w:rsidRPr="00F101A0">
        <w:rPr>
          <w:rFonts w:ascii="Arial" w:hAnsi="Arial" w:cs="Arial"/>
          <w:sz w:val="24"/>
          <w:szCs w:val="24"/>
        </w:rPr>
        <w:t>-</w:t>
      </w:r>
      <w:r w:rsidR="008B08C3" w:rsidRPr="00F101A0">
        <w:rPr>
          <w:rFonts w:ascii="Arial" w:hAnsi="Arial" w:cs="Arial"/>
          <w:sz w:val="24"/>
          <w:szCs w:val="24"/>
        </w:rPr>
        <w:t>by</w:t>
      </w:r>
      <w:r w:rsidR="009A18C3" w:rsidRPr="00F101A0">
        <w:rPr>
          <w:rFonts w:ascii="Arial" w:hAnsi="Arial" w:cs="Arial"/>
          <w:sz w:val="24"/>
          <w:szCs w:val="24"/>
        </w:rPr>
        <w:t>-</w:t>
      </w:r>
      <w:r w:rsidR="008B08C3" w:rsidRPr="00F101A0">
        <w:rPr>
          <w:rFonts w:ascii="Arial" w:hAnsi="Arial" w:cs="Arial"/>
          <w:sz w:val="24"/>
          <w:szCs w:val="24"/>
        </w:rPr>
        <w:t xml:space="preserve">paragraph. </w:t>
      </w:r>
      <w:r w:rsidR="002278D9" w:rsidRPr="00F101A0">
        <w:rPr>
          <w:rFonts w:ascii="Arial" w:hAnsi="Arial" w:cs="Arial"/>
          <w:sz w:val="24"/>
          <w:szCs w:val="24"/>
        </w:rPr>
        <w:t xml:space="preserve">This report </w:t>
      </w:r>
      <w:r w:rsidR="00AE33EB" w:rsidRPr="00F101A0">
        <w:rPr>
          <w:rFonts w:ascii="Arial" w:hAnsi="Arial" w:cs="Arial"/>
          <w:sz w:val="24"/>
          <w:szCs w:val="24"/>
        </w:rPr>
        <w:t>summar</w:t>
      </w:r>
      <w:r w:rsidR="002278D9" w:rsidRPr="00F101A0">
        <w:rPr>
          <w:rFonts w:ascii="Arial" w:hAnsi="Arial" w:cs="Arial"/>
          <w:sz w:val="24"/>
          <w:szCs w:val="24"/>
        </w:rPr>
        <w:t xml:space="preserve">ises </w:t>
      </w:r>
      <w:r w:rsidR="00AE33EB" w:rsidRPr="00F101A0">
        <w:rPr>
          <w:rFonts w:ascii="Arial" w:hAnsi="Arial" w:cs="Arial"/>
          <w:sz w:val="24"/>
          <w:szCs w:val="24"/>
        </w:rPr>
        <w:t xml:space="preserve">the </w:t>
      </w:r>
      <w:r w:rsidR="002278D9" w:rsidRPr="00F101A0">
        <w:rPr>
          <w:rFonts w:ascii="Arial" w:hAnsi="Arial" w:cs="Arial"/>
          <w:sz w:val="24"/>
          <w:szCs w:val="24"/>
        </w:rPr>
        <w:t xml:space="preserve">main </w:t>
      </w:r>
      <w:r w:rsidR="00AE33EB" w:rsidRPr="00F101A0">
        <w:rPr>
          <w:rFonts w:ascii="Arial" w:hAnsi="Arial" w:cs="Arial"/>
          <w:sz w:val="24"/>
          <w:szCs w:val="24"/>
        </w:rPr>
        <w:t xml:space="preserve">observations and </w:t>
      </w:r>
      <w:r w:rsidR="00FC000A" w:rsidRPr="00F101A0">
        <w:rPr>
          <w:rFonts w:ascii="Arial" w:hAnsi="Arial" w:cs="Arial"/>
          <w:sz w:val="24"/>
          <w:szCs w:val="24"/>
        </w:rPr>
        <w:t>conclusions</w:t>
      </w:r>
      <w:r w:rsidR="00AE33EB" w:rsidRPr="00F101A0">
        <w:rPr>
          <w:rFonts w:ascii="Arial" w:hAnsi="Arial" w:cs="Arial"/>
          <w:sz w:val="24"/>
          <w:szCs w:val="24"/>
        </w:rPr>
        <w:t xml:space="preserve"> </w:t>
      </w:r>
      <w:r w:rsidR="00300072" w:rsidRPr="00F101A0">
        <w:rPr>
          <w:rFonts w:ascii="Arial" w:hAnsi="Arial" w:cs="Arial"/>
          <w:sz w:val="24"/>
          <w:szCs w:val="24"/>
        </w:rPr>
        <w:t xml:space="preserve">from the second </w:t>
      </w:r>
      <w:r w:rsidR="00607548" w:rsidRPr="00F101A0">
        <w:rPr>
          <w:rFonts w:ascii="Arial" w:hAnsi="Arial" w:cs="Arial"/>
          <w:sz w:val="24"/>
          <w:szCs w:val="24"/>
        </w:rPr>
        <w:t xml:space="preserve">dedicated </w:t>
      </w:r>
      <w:r w:rsidR="00300072" w:rsidRPr="00F101A0">
        <w:rPr>
          <w:rFonts w:ascii="Arial" w:hAnsi="Arial" w:cs="Arial"/>
          <w:sz w:val="24"/>
          <w:szCs w:val="24"/>
        </w:rPr>
        <w:t xml:space="preserve">session, </w:t>
      </w:r>
      <w:r w:rsidR="00AE33EB" w:rsidRPr="00F101A0">
        <w:rPr>
          <w:rFonts w:ascii="Arial" w:hAnsi="Arial" w:cs="Arial"/>
          <w:sz w:val="24"/>
          <w:szCs w:val="24"/>
        </w:rPr>
        <w:t xml:space="preserve">as follows: </w:t>
      </w:r>
    </w:p>
    <w:p w14:paraId="6B93734A" w14:textId="30EE33F5" w:rsidR="00CC1B77" w:rsidRPr="00F101A0" w:rsidRDefault="00CC1B77" w:rsidP="00143989">
      <w:pPr>
        <w:pStyle w:val="ListParagraph"/>
        <w:numPr>
          <w:ilvl w:val="2"/>
          <w:numId w:val="1"/>
        </w:numPr>
        <w:spacing w:before="240"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lastRenderedPageBreak/>
        <w:t xml:space="preserve">Title </w:t>
      </w:r>
    </w:p>
    <w:p w14:paraId="248A4EFF" w14:textId="446EF3E9" w:rsidR="00EA31EB" w:rsidRPr="00F101A0" w:rsidRDefault="000953A4" w:rsidP="00143989">
      <w:pPr>
        <w:spacing w:before="240" w:after="0" w:line="312" w:lineRule="auto"/>
        <w:ind w:firstLine="851"/>
        <w:jc w:val="both"/>
        <w:rPr>
          <w:rFonts w:ascii="Arial" w:hAnsi="Arial" w:cs="Arial"/>
          <w:sz w:val="24"/>
          <w:szCs w:val="24"/>
        </w:rPr>
      </w:pPr>
      <w:r w:rsidRPr="00F101A0">
        <w:rPr>
          <w:rFonts w:ascii="Arial" w:hAnsi="Arial" w:cs="Arial"/>
          <w:sz w:val="24"/>
          <w:szCs w:val="24"/>
        </w:rPr>
        <w:t>N</w:t>
      </w:r>
      <w:r w:rsidR="009E3703" w:rsidRPr="00F101A0">
        <w:rPr>
          <w:rFonts w:ascii="Arial" w:hAnsi="Arial" w:cs="Arial"/>
          <w:sz w:val="24"/>
          <w:szCs w:val="24"/>
        </w:rPr>
        <w:t xml:space="preserve">o comments from </w:t>
      </w:r>
      <w:r w:rsidR="006E0AA7" w:rsidRPr="00F101A0">
        <w:rPr>
          <w:rFonts w:ascii="Arial" w:hAnsi="Arial" w:cs="Arial"/>
          <w:sz w:val="24"/>
          <w:szCs w:val="24"/>
        </w:rPr>
        <w:t>Member States</w:t>
      </w:r>
      <w:r w:rsidR="009319C3" w:rsidRPr="00F101A0">
        <w:rPr>
          <w:rFonts w:ascii="Arial" w:hAnsi="Arial" w:cs="Arial"/>
          <w:sz w:val="24"/>
          <w:szCs w:val="24"/>
        </w:rPr>
        <w:t>.</w:t>
      </w:r>
      <w:r w:rsidR="00EA31EB" w:rsidRPr="00F101A0">
        <w:rPr>
          <w:rFonts w:ascii="Arial" w:hAnsi="Arial" w:cs="Arial"/>
          <w:sz w:val="24"/>
          <w:szCs w:val="24"/>
        </w:rPr>
        <w:t xml:space="preserve"> </w:t>
      </w:r>
    </w:p>
    <w:p w14:paraId="7E4AD494" w14:textId="28A78901" w:rsidR="002936E4" w:rsidRPr="00F101A0" w:rsidRDefault="00610DF4" w:rsidP="00143989">
      <w:pPr>
        <w:shd w:val="clear" w:color="auto" w:fill="D9D9D9" w:themeFill="background1" w:themeFillShade="D9"/>
        <w:spacing w:before="240" w:after="0" w:line="312" w:lineRule="auto"/>
        <w:ind w:left="851"/>
        <w:jc w:val="both"/>
        <w:rPr>
          <w:rFonts w:ascii="Arial" w:hAnsi="Arial" w:cs="Arial"/>
          <w:sz w:val="24"/>
          <w:szCs w:val="24"/>
          <w:u w:val="single"/>
        </w:rPr>
      </w:pPr>
      <w:r w:rsidRPr="00F101A0">
        <w:rPr>
          <w:rFonts w:ascii="Arial" w:hAnsi="Arial" w:cs="Arial"/>
          <w:sz w:val="24"/>
          <w:szCs w:val="24"/>
          <w:u w:val="single"/>
        </w:rPr>
        <w:t>Conclusion 1</w:t>
      </w:r>
      <w:r w:rsidR="000A408E" w:rsidRPr="00F101A0">
        <w:rPr>
          <w:rFonts w:ascii="Arial" w:hAnsi="Arial" w:cs="Arial"/>
          <w:sz w:val="24"/>
          <w:szCs w:val="24"/>
          <w:u w:val="single"/>
        </w:rPr>
        <w:t>:</w:t>
      </w:r>
      <w:r w:rsidR="00EA31EB" w:rsidRPr="00F101A0">
        <w:rPr>
          <w:rFonts w:ascii="Arial" w:hAnsi="Arial" w:cs="Arial"/>
          <w:sz w:val="24"/>
          <w:szCs w:val="24"/>
          <w:u w:val="single"/>
        </w:rPr>
        <w:t xml:space="preserve"> </w:t>
      </w:r>
      <w:r w:rsidR="00C93A28" w:rsidRPr="00F101A0">
        <w:rPr>
          <w:rFonts w:ascii="Arial" w:hAnsi="Arial" w:cs="Arial"/>
          <w:sz w:val="24"/>
          <w:szCs w:val="24"/>
          <w:u w:val="single"/>
        </w:rPr>
        <w:t>Title</w:t>
      </w:r>
    </w:p>
    <w:p w14:paraId="01B32FC1" w14:textId="70E63C2A" w:rsidR="001D502E" w:rsidRPr="00F101A0" w:rsidRDefault="00DA256F" w:rsidP="00143989">
      <w:pPr>
        <w:shd w:val="clear" w:color="auto" w:fill="D9D9D9" w:themeFill="background1" w:themeFillShade="D9"/>
        <w:spacing w:before="240" w:after="0" w:line="312" w:lineRule="auto"/>
        <w:ind w:left="851"/>
        <w:jc w:val="both"/>
        <w:rPr>
          <w:rFonts w:ascii="Arial" w:hAnsi="Arial" w:cs="Arial"/>
          <w:sz w:val="24"/>
          <w:szCs w:val="24"/>
        </w:rPr>
      </w:pPr>
      <w:r>
        <w:rPr>
          <w:rFonts w:ascii="Arial" w:hAnsi="Arial" w:cs="Arial"/>
          <w:sz w:val="24"/>
          <w:szCs w:val="24"/>
        </w:rPr>
        <w:t xml:space="preserve">No changes proposed. </w:t>
      </w:r>
    </w:p>
    <w:p w14:paraId="31E41FEA" w14:textId="6877F016" w:rsidR="009E3703" w:rsidRPr="00F101A0" w:rsidRDefault="009E3703" w:rsidP="00143989">
      <w:pPr>
        <w:pStyle w:val="ListParagraph"/>
        <w:numPr>
          <w:ilvl w:val="2"/>
          <w:numId w:val="1"/>
        </w:numPr>
        <w:spacing w:before="240"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Opening Paragraph/Chapeau</w:t>
      </w:r>
    </w:p>
    <w:p w14:paraId="6629899F" w14:textId="24393278" w:rsidR="00043AC4" w:rsidRPr="00F101A0" w:rsidRDefault="00A962C4" w:rsidP="00F101A0">
      <w:pPr>
        <w:spacing w:before="240" w:after="0" w:line="312" w:lineRule="auto"/>
        <w:ind w:left="850"/>
        <w:jc w:val="both"/>
        <w:rPr>
          <w:rFonts w:ascii="Arial" w:hAnsi="Arial" w:cs="Arial"/>
          <w:sz w:val="24"/>
          <w:szCs w:val="24"/>
        </w:rPr>
      </w:pPr>
      <w:r w:rsidRPr="00F101A0">
        <w:rPr>
          <w:rFonts w:ascii="Arial" w:hAnsi="Arial" w:cs="Arial"/>
          <w:sz w:val="24"/>
          <w:szCs w:val="24"/>
        </w:rPr>
        <w:t xml:space="preserve">Member States </w:t>
      </w:r>
      <w:r w:rsidR="00A84C79" w:rsidRPr="00F101A0">
        <w:rPr>
          <w:rFonts w:ascii="Arial" w:hAnsi="Arial" w:cs="Arial"/>
          <w:sz w:val="24"/>
          <w:szCs w:val="24"/>
        </w:rPr>
        <w:t>recognised</w:t>
      </w:r>
      <w:r w:rsidRPr="00F101A0">
        <w:rPr>
          <w:rFonts w:ascii="Arial" w:hAnsi="Arial" w:cs="Arial"/>
          <w:sz w:val="24"/>
          <w:szCs w:val="24"/>
        </w:rPr>
        <w:t xml:space="preserve"> that the opening paragraph</w:t>
      </w:r>
      <w:r w:rsidR="00A84C79" w:rsidRPr="00F101A0">
        <w:rPr>
          <w:rFonts w:ascii="Arial" w:hAnsi="Arial" w:cs="Arial"/>
          <w:sz w:val="24"/>
          <w:szCs w:val="24"/>
        </w:rPr>
        <w:t xml:space="preserve"> (chapeau)</w:t>
      </w:r>
      <w:r w:rsidRPr="00F101A0">
        <w:rPr>
          <w:rFonts w:ascii="Arial" w:hAnsi="Arial" w:cs="Arial"/>
          <w:sz w:val="24"/>
          <w:szCs w:val="24"/>
        </w:rPr>
        <w:t xml:space="preserve"> </w:t>
      </w:r>
      <w:r w:rsidR="009A18C3" w:rsidRPr="00F101A0">
        <w:rPr>
          <w:rFonts w:ascii="Arial" w:hAnsi="Arial" w:cs="Arial"/>
          <w:sz w:val="24"/>
          <w:szCs w:val="24"/>
        </w:rPr>
        <w:t>came</w:t>
      </w:r>
      <w:r w:rsidR="00A84C79" w:rsidRPr="00F101A0">
        <w:rPr>
          <w:rFonts w:ascii="Arial" w:hAnsi="Arial" w:cs="Arial"/>
          <w:sz w:val="24"/>
          <w:szCs w:val="24"/>
        </w:rPr>
        <w:t xml:space="preserve"> </w:t>
      </w:r>
      <w:r w:rsidR="00BD1BC1" w:rsidRPr="00F101A0">
        <w:rPr>
          <w:rFonts w:ascii="Arial" w:hAnsi="Arial" w:cs="Arial"/>
          <w:sz w:val="24"/>
          <w:szCs w:val="24"/>
        </w:rPr>
        <w:t xml:space="preserve">from the </w:t>
      </w:r>
      <w:r w:rsidR="00A84C79" w:rsidRPr="00F101A0">
        <w:rPr>
          <w:rFonts w:ascii="Arial" w:hAnsi="Arial" w:cs="Arial"/>
          <w:sz w:val="24"/>
          <w:szCs w:val="24"/>
        </w:rPr>
        <w:t xml:space="preserve">SADC </w:t>
      </w:r>
      <w:r w:rsidR="00BD1BC1" w:rsidRPr="00F101A0">
        <w:rPr>
          <w:rFonts w:ascii="Arial" w:hAnsi="Arial" w:cs="Arial"/>
          <w:sz w:val="24"/>
          <w:szCs w:val="24"/>
        </w:rPr>
        <w:t xml:space="preserve">Protocol on Trade in </w:t>
      </w:r>
      <w:r w:rsidR="008B6ED6" w:rsidRPr="00F101A0">
        <w:rPr>
          <w:rFonts w:ascii="Arial" w:hAnsi="Arial" w:cs="Arial"/>
          <w:sz w:val="24"/>
          <w:szCs w:val="24"/>
        </w:rPr>
        <w:t>Services and</w:t>
      </w:r>
      <w:r w:rsidR="00A84C79" w:rsidRPr="00F101A0">
        <w:rPr>
          <w:rFonts w:ascii="Arial" w:hAnsi="Arial" w:cs="Arial"/>
          <w:sz w:val="24"/>
          <w:szCs w:val="24"/>
        </w:rPr>
        <w:t xml:space="preserve"> made no comments or suggestion</w:t>
      </w:r>
      <w:r w:rsidR="008B6ED6" w:rsidRPr="00F101A0">
        <w:rPr>
          <w:rFonts w:ascii="Arial" w:hAnsi="Arial" w:cs="Arial"/>
          <w:sz w:val="24"/>
          <w:szCs w:val="24"/>
        </w:rPr>
        <w:t>s</w:t>
      </w:r>
      <w:r w:rsidR="00A84C79" w:rsidRPr="00F101A0">
        <w:rPr>
          <w:rFonts w:ascii="Arial" w:hAnsi="Arial" w:cs="Arial"/>
          <w:sz w:val="24"/>
          <w:szCs w:val="24"/>
        </w:rPr>
        <w:t>.</w:t>
      </w:r>
    </w:p>
    <w:p w14:paraId="2A2D8ABC" w14:textId="7C557424" w:rsidR="00C93A28" w:rsidRPr="00F101A0" w:rsidRDefault="00FC000A" w:rsidP="00F101A0">
      <w:pPr>
        <w:shd w:val="clear" w:color="auto" w:fill="D9D9D9" w:themeFill="background1" w:themeFillShade="D9"/>
        <w:spacing w:before="240" w:after="0" w:line="312" w:lineRule="auto"/>
        <w:ind w:left="850"/>
        <w:jc w:val="both"/>
        <w:rPr>
          <w:rFonts w:ascii="Arial" w:hAnsi="Arial" w:cs="Arial"/>
          <w:sz w:val="24"/>
          <w:szCs w:val="24"/>
          <w:u w:val="single"/>
        </w:rPr>
      </w:pPr>
      <w:r w:rsidRPr="00F101A0">
        <w:rPr>
          <w:rFonts w:ascii="Arial" w:hAnsi="Arial" w:cs="Arial"/>
          <w:sz w:val="24"/>
          <w:szCs w:val="24"/>
          <w:u w:val="single"/>
        </w:rPr>
        <w:t>Conclusion 2</w:t>
      </w:r>
      <w:r w:rsidR="00043AC4" w:rsidRPr="00F101A0">
        <w:rPr>
          <w:rFonts w:ascii="Arial" w:hAnsi="Arial" w:cs="Arial"/>
          <w:sz w:val="24"/>
          <w:szCs w:val="24"/>
          <w:u w:val="single"/>
        </w:rPr>
        <w:t>:</w:t>
      </w:r>
      <w:r w:rsidR="008B6ED6" w:rsidRPr="00F101A0">
        <w:rPr>
          <w:rFonts w:ascii="Arial" w:hAnsi="Arial" w:cs="Arial"/>
          <w:sz w:val="24"/>
          <w:szCs w:val="24"/>
          <w:u w:val="single"/>
        </w:rPr>
        <w:t xml:space="preserve"> </w:t>
      </w:r>
      <w:r w:rsidR="00C93A28" w:rsidRPr="00F101A0">
        <w:rPr>
          <w:rFonts w:ascii="Arial" w:hAnsi="Arial" w:cs="Arial"/>
          <w:sz w:val="24"/>
          <w:szCs w:val="24"/>
          <w:u w:val="single"/>
        </w:rPr>
        <w:t>Opening Paragraph/Chapeau</w:t>
      </w:r>
    </w:p>
    <w:p w14:paraId="018FE7FE" w14:textId="00223858" w:rsidR="00043AC4" w:rsidRPr="00F101A0" w:rsidRDefault="00DA256F" w:rsidP="00F101A0">
      <w:pPr>
        <w:shd w:val="clear" w:color="auto" w:fill="D9D9D9" w:themeFill="background1" w:themeFillShade="D9"/>
        <w:spacing w:before="240" w:after="0" w:line="312" w:lineRule="auto"/>
        <w:ind w:left="850"/>
        <w:jc w:val="both"/>
        <w:rPr>
          <w:rFonts w:ascii="Arial" w:hAnsi="Arial" w:cs="Arial"/>
          <w:sz w:val="24"/>
          <w:szCs w:val="24"/>
        </w:rPr>
      </w:pPr>
      <w:r>
        <w:rPr>
          <w:rFonts w:ascii="Arial" w:hAnsi="Arial" w:cs="Arial"/>
          <w:sz w:val="24"/>
          <w:szCs w:val="24"/>
          <w:shd w:val="clear" w:color="auto" w:fill="D9D9D9" w:themeFill="background1" w:themeFillShade="D9"/>
        </w:rPr>
        <w:t>N</w:t>
      </w:r>
      <w:r w:rsidR="007F35D0" w:rsidRPr="00F101A0">
        <w:rPr>
          <w:rFonts w:ascii="Arial" w:hAnsi="Arial" w:cs="Arial"/>
          <w:sz w:val="24"/>
          <w:szCs w:val="24"/>
          <w:shd w:val="clear" w:color="auto" w:fill="D9D9D9" w:themeFill="background1" w:themeFillShade="D9"/>
        </w:rPr>
        <w:t xml:space="preserve">o </w:t>
      </w:r>
      <w:r w:rsidR="00175E0B" w:rsidRPr="00F101A0">
        <w:rPr>
          <w:rFonts w:ascii="Arial" w:hAnsi="Arial" w:cs="Arial"/>
          <w:sz w:val="24"/>
          <w:szCs w:val="24"/>
          <w:shd w:val="clear" w:color="auto" w:fill="D9D9D9" w:themeFill="background1" w:themeFillShade="D9"/>
        </w:rPr>
        <w:t>changes</w:t>
      </w:r>
      <w:r>
        <w:rPr>
          <w:rFonts w:ascii="Arial" w:hAnsi="Arial" w:cs="Arial"/>
          <w:sz w:val="24"/>
          <w:szCs w:val="24"/>
          <w:shd w:val="clear" w:color="auto" w:fill="D9D9D9" w:themeFill="background1" w:themeFillShade="D9"/>
        </w:rPr>
        <w:t xml:space="preserve"> proposed</w:t>
      </w:r>
      <w:r w:rsidR="008B6ED6" w:rsidRPr="00F101A0">
        <w:rPr>
          <w:rFonts w:ascii="Arial" w:hAnsi="Arial" w:cs="Arial"/>
          <w:sz w:val="24"/>
          <w:szCs w:val="24"/>
          <w:shd w:val="clear" w:color="auto" w:fill="D9D9D9" w:themeFill="background1" w:themeFillShade="D9"/>
        </w:rPr>
        <w:t>.</w:t>
      </w:r>
    </w:p>
    <w:p w14:paraId="5100079D" w14:textId="77777777" w:rsidR="009E3703" w:rsidRPr="00F101A0" w:rsidRDefault="009E3703" w:rsidP="000953A4">
      <w:pPr>
        <w:spacing w:after="0" w:line="312" w:lineRule="auto"/>
        <w:ind w:firstLine="851"/>
        <w:jc w:val="both"/>
        <w:rPr>
          <w:rFonts w:ascii="Arial" w:hAnsi="Arial" w:cs="Arial"/>
          <w:sz w:val="24"/>
          <w:szCs w:val="24"/>
        </w:rPr>
      </w:pPr>
    </w:p>
    <w:p w14:paraId="560E6A3D" w14:textId="0708EEC2" w:rsidR="001D502E" w:rsidRPr="00F101A0" w:rsidRDefault="001D502E" w:rsidP="00F101A0">
      <w:pPr>
        <w:pStyle w:val="ListParagraph"/>
        <w:numPr>
          <w:ilvl w:val="2"/>
          <w:numId w:val="1"/>
        </w:numPr>
        <w:spacing w:after="0" w:line="312" w:lineRule="auto"/>
        <w:ind w:left="900" w:hanging="900"/>
        <w:jc w:val="both"/>
        <w:rPr>
          <w:rFonts w:ascii="Arial Bold" w:hAnsi="Arial Bold" w:cs="Arial"/>
          <w:b/>
          <w:bCs/>
          <w:caps/>
          <w:sz w:val="24"/>
          <w:szCs w:val="24"/>
        </w:rPr>
      </w:pPr>
      <w:r w:rsidRPr="00F101A0">
        <w:rPr>
          <w:rFonts w:ascii="Arial Bold" w:hAnsi="Arial Bold" w:cs="Arial"/>
          <w:b/>
          <w:bCs/>
          <w:caps/>
          <w:sz w:val="24"/>
          <w:szCs w:val="24"/>
        </w:rPr>
        <w:t>Introduction</w:t>
      </w:r>
      <w:r w:rsidR="007F504A" w:rsidRPr="00F101A0">
        <w:rPr>
          <w:rFonts w:ascii="Arial Bold" w:hAnsi="Arial Bold" w:cs="Arial"/>
          <w:b/>
          <w:bCs/>
          <w:caps/>
          <w:sz w:val="24"/>
          <w:szCs w:val="24"/>
        </w:rPr>
        <w:t xml:space="preserve"> [Section 1]</w:t>
      </w:r>
    </w:p>
    <w:p w14:paraId="50E5FE56" w14:textId="7525E100" w:rsidR="0006778B" w:rsidRPr="00F101A0" w:rsidRDefault="0099252D" w:rsidP="00F101A0">
      <w:pPr>
        <w:spacing w:before="240" w:after="0" w:line="312" w:lineRule="auto"/>
        <w:ind w:left="851"/>
        <w:jc w:val="both"/>
        <w:rPr>
          <w:rFonts w:ascii="Arial" w:hAnsi="Arial" w:cs="Arial"/>
          <w:b/>
          <w:bCs/>
          <w:sz w:val="24"/>
          <w:szCs w:val="24"/>
        </w:rPr>
      </w:pPr>
      <w:r w:rsidRPr="00F101A0">
        <w:rPr>
          <w:rFonts w:ascii="Arial" w:hAnsi="Arial" w:cs="Arial"/>
          <w:b/>
          <w:bCs/>
          <w:sz w:val="24"/>
          <w:szCs w:val="24"/>
        </w:rPr>
        <w:t>Paragraph 1.2</w:t>
      </w:r>
      <w:r w:rsidR="006A058B" w:rsidRPr="00F101A0">
        <w:rPr>
          <w:rFonts w:ascii="Arial" w:hAnsi="Arial" w:cs="Arial"/>
          <w:b/>
          <w:bCs/>
          <w:sz w:val="24"/>
          <w:szCs w:val="24"/>
        </w:rPr>
        <w:t xml:space="preserve"> </w:t>
      </w:r>
      <w:r w:rsidR="00EA5A4D" w:rsidRPr="00F101A0">
        <w:rPr>
          <w:rFonts w:ascii="Arial" w:hAnsi="Arial" w:cs="Arial"/>
          <w:b/>
          <w:bCs/>
          <w:sz w:val="24"/>
          <w:szCs w:val="24"/>
        </w:rPr>
        <w:t>on “</w:t>
      </w:r>
      <w:r w:rsidR="00EA5A4D" w:rsidRPr="00F101A0">
        <w:rPr>
          <w:rFonts w:ascii="Arial" w:hAnsi="Arial" w:cs="Arial"/>
          <w:b/>
          <w:bCs/>
          <w:i/>
          <w:sz w:val="24"/>
          <w:szCs w:val="24"/>
        </w:rPr>
        <w:t>training facilities</w:t>
      </w:r>
      <w:r w:rsidR="00EA5A4D" w:rsidRPr="00F101A0">
        <w:rPr>
          <w:rFonts w:ascii="Arial" w:hAnsi="Arial" w:cs="Arial"/>
          <w:b/>
          <w:bCs/>
          <w:sz w:val="24"/>
          <w:szCs w:val="24"/>
        </w:rPr>
        <w:t>”</w:t>
      </w:r>
    </w:p>
    <w:p w14:paraId="4C63C416" w14:textId="63E68B8A" w:rsidR="00BB791F" w:rsidRPr="00F101A0" w:rsidRDefault="007B33A9" w:rsidP="009A18C3">
      <w:pPr>
        <w:pStyle w:val="ListParagraph"/>
        <w:numPr>
          <w:ilvl w:val="0"/>
          <w:numId w:val="9"/>
        </w:numPr>
        <w:spacing w:before="240" w:after="0" w:line="312" w:lineRule="auto"/>
        <w:ind w:left="1530" w:hanging="679"/>
        <w:jc w:val="both"/>
        <w:rPr>
          <w:rFonts w:ascii="Arial" w:hAnsi="Arial" w:cs="Arial"/>
          <w:sz w:val="24"/>
          <w:szCs w:val="24"/>
        </w:rPr>
      </w:pPr>
      <w:r w:rsidRPr="00F101A0">
        <w:rPr>
          <w:rFonts w:ascii="Arial" w:hAnsi="Arial" w:cs="Arial"/>
          <w:sz w:val="24"/>
          <w:szCs w:val="24"/>
        </w:rPr>
        <w:t xml:space="preserve">Some </w:t>
      </w:r>
      <w:r w:rsidR="00DA2879" w:rsidRPr="00F101A0">
        <w:rPr>
          <w:rFonts w:ascii="Arial" w:hAnsi="Arial" w:cs="Arial"/>
          <w:sz w:val="24"/>
          <w:szCs w:val="24"/>
        </w:rPr>
        <w:t>Member State</w:t>
      </w:r>
      <w:r w:rsidRPr="00F101A0">
        <w:rPr>
          <w:rFonts w:ascii="Arial" w:hAnsi="Arial" w:cs="Arial"/>
          <w:sz w:val="24"/>
          <w:szCs w:val="24"/>
        </w:rPr>
        <w:t>s</w:t>
      </w:r>
      <w:r w:rsidR="00DA2879" w:rsidRPr="00F101A0">
        <w:rPr>
          <w:rFonts w:ascii="Arial" w:hAnsi="Arial" w:cs="Arial"/>
          <w:sz w:val="24"/>
          <w:szCs w:val="24"/>
        </w:rPr>
        <w:t xml:space="preserve"> proposed the deletion of</w:t>
      </w:r>
      <w:r w:rsidR="003B47FF" w:rsidRPr="00F101A0">
        <w:rPr>
          <w:rFonts w:ascii="Arial" w:hAnsi="Arial" w:cs="Arial"/>
          <w:sz w:val="24"/>
          <w:szCs w:val="24"/>
        </w:rPr>
        <w:t xml:space="preserve"> “</w:t>
      </w:r>
      <w:r w:rsidR="003B47FF" w:rsidRPr="00F101A0">
        <w:rPr>
          <w:rFonts w:ascii="Arial" w:hAnsi="Arial" w:cs="Arial"/>
          <w:i/>
          <w:iCs/>
          <w:sz w:val="24"/>
          <w:szCs w:val="24"/>
        </w:rPr>
        <w:t>training facilities</w:t>
      </w:r>
      <w:r w:rsidR="003B47FF" w:rsidRPr="00F101A0">
        <w:rPr>
          <w:rFonts w:ascii="Arial" w:hAnsi="Arial" w:cs="Arial"/>
          <w:sz w:val="24"/>
          <w:szCs w:val="24"/>
        </w:rPr>
        <w:t xml:space="preserve">” from the </w:t>
      </w:r>
      <w:r w:rsidR="007B779A" w:rsidRPr="00F101A0">
        <w:rPr>
          <w:rFonts w:ascii="Arial" w:hAnsi="Arial" w:cs="Arial"/>
          <w:sz w:val="24"/>
          <w:szCs w:val="24"/>
        </w:rPr>
        <w:t xml:space="preserve">scope of the </w:t>
      </w:r>
      <w:r w:rsidR="00B615C0" w:rsidRPr="00F101A0">
        <w:rPr>
          <w:rFonts w:ascii="Arial" w:hAnsi="Arial" w:cs="Arial"/>
          <w:sz w:val="24"/>
          <w:szCs w:val="24"/>
        </w:rPr>
        <w:t xml:space="preserve">definition of </w:t>
      </w:r>
      <w:r w:rsidR="009A18C3" w:rsidRPr="00F101A0">
        <w:rPr>
          <w:rFonts w:ascii="Arial" w:hAnsi="Arial" w:cs="Arial"/>
          <w:sz w:val="24"/>
          <w:szCs w:val="24"/>
        </w:rPr>
        <w:t>“</w:t>
      </w:r>
      <w:r w:rsidR="00B615C0" w:rsidRPr="00F101A0">
        <w:rPr>
          <w:rFonts w:ascii="Arial" w:hAnsi="Arial" w:cs="Arial"/>
          <w:sz w:val="24"/>
          <w:szCs w:val="24"/>
        </w:rPr>
        <w:t>educational system</w:t>
      </w:r>
      <w:r w:rsidR="009A18C3" w:rsidRPr="00F101A0">
        <w:rPr>
          <w:rFonts w:ascii="Arial" w:hAnsi="Arial" w:cs="Arial"/>
          <w:sz w:val="24"/>
          <w:szCs w:val="24"/>
        </w:rPr>
        <w:t>”</w:t>
      </w:r>
      <w:r w:rsidR="00E51D39" w:rsidRPr="00F101A0">
        <w:rPr>
          <w:rFonts w:ascii="Arial" w:hAnsi="Arial" w:cs="Arial"/>
          <w:sz w:val="24"/>
          <w:szCs w:val="24"/>
        </w:rPr>
        <w:t>, due to the complexity of harmonising training facilities across the region</w:t>
      </w:r>
      <w:r w:rsidR="0007103A" w:rsidRPr="00F101A0">
        <w:rPr>
          <w:rFonts w:ascii="Arial" w:hAnsi="Arial" w:cs="Arial"/>
          <w:sz w:val="24"/>
          <w:szCs w:val="24"/>
        </w:rPr>
        <w:t xml:space="preserve">, notwithstanding that in some </w:t>
      </w:r>
      <w:r w:rsidR="00512F96" w:rsidRPr="00F101A0">
        <w:rPr>
          <w:rFonts w:ascii="Arial" w:hAnsi="Arial" w:cs="Arial"/>
          <w:sz w:val="24"/>
          <w:szCs w:val="24"/>
        </w:rPr>
        <w:t xml:space="preserve">specific </w:t>
      </w:r>
      <w:r w:rsidR="009A18C3" w:rsidRPr="00F101A0">
        <w:rPr>
          <w:rFonts w:ascii="Arial" w:hAnsi="Arial" w:cs="Arial"/>
          <w:sz w:val="24"/>
          <w:szCs w:val="24"/>
        </w:rPr>
        <w:t xml:space="preserve">sectoral professions </w:t>
      </w:r>
      <w:r w:rsidR="001B3A26" w:rsidRPr="00F101A0">
        <w:rPr>
          <w:rFonts w:ascii="Arial" w:hAnsi="Arial" w:cs="Arial"/>
          <w:sz w:val="24"/>
          <w:szCs w:val="24"/>
        </w:rPr>
        <w:t>(medical or health-related professions</w:t>
      </w:r>
      <w:r w:rsidR="006F6901" w:rsidRPr="00F101A0">
        <w:rPr>
          <w:rFonts w:ascii="Arial" w:hAnsi="Arial" w:cs="Arial"/>
          <w:sz w:val="24"/>
          <w:szCs w:val="24"/>
        </w:rPr>
        <w:t xml:space="preserve">, </w:t>
      </w:r>
      <w:r w:rsidR="0044593E" w:rsidRPr="00F101A0">
        <w:rPr>
          <w:rFonts w:ascii="Arial" w:hAnsi="Arial" w:cs="Arial"/>
          <w:sz w:val="24"/>
          <w:szCs w:val="24"/>
        </w:rPr>
        <w:t xml:space="preserve">veterinary, </w:t>
      </w:r>
      <w:r w:rsidR="006F6901" w:rsidRPr="00F101A0">
        <w:rPr>
          <w:rFonts w:ascii="Arial" w:hAnsi="Arial" w:cs="Arial"/>
          <w:sz w:val="24"/>
          <w:szCs w:val="24"/>
        </w:rPr>
        <w:t xml:space="preserve">engineering) training facilities </w:t>
      </w:r>
      <w:r w:rsidR="00607548">
        <w:rPr>
          <w:rFonts w:ascii="Arial" w:hAnsi="Arial" w:cs="Arial"/>
          <w:sz w:val="24"/>
          <w:szCs w:val="24"/>
        </w:rPr>
        <w:t>we</w:t>
      </w:r>
      <w:r w:rsidR="009A18C3" w:rsidRPr="00F101A0">
        <w:rPr>
          <w:rFonts w:ascii="Arial" w:hAnsi="Arial" w:cs="Arial"/>
          <w:sz w:val="24"/>
          <w:szCs w:val="24"/>
        </w:rPr>
        <w:t>re</w:t>
      </w:r>
      <w:r w:rsidR="006F6901" w:rsidRPr="00F101A0">
        <w:rPr>
          <w:rFonts w:ascii="Arial" w:hAnsi="Arial" w:cs="Arial"/>
          <w:sz w:val="24"/>
          <w:szCs w:val="24"/>
        </w:rPr>
        <w:t xml:space="preserve"> paramount</w:t>
      </w:r>
      <w:r w:rsidR="00345A47" w:rsidRPr="00F101A0">
        <w:rPr>
          <w:rFonts w:ascii="Arial" w:hAnsi="Arial" w:cs="Arial"/>
          <w:sz w:val="24"/>
          <w:szCs w:val="24"/>
        </w:rPr>
        <w:t xml:space="preserve"> to the</w:t>
      </w:r>
      <w:r w:rsidR="009A18C3" w:rsidRPr="00F101A0">
        <w:rPr>
          <w:rFonts w:ascii="Arial" w:hAnsi="Arial" w:cs="Arial"/>
          <w:sz w:val="24"/>
          <w:szCs w:val="24"/>
        </w:rPr>
        <w:t xml:space="preserve"> achievement</w:t>
      </w:r>
      <w:r w:rsidR="00345A47" w:rsidRPr="00F101A0">
        <w:rPr>
          <w:rFonts w:ascii="Arial" w:hAnsi="Arial" w:cs="Arial"/>
          <w:sz w:val="24"/>
          <w:szCs w:val="24"/>
        </w:rPr>
        <w:t xml:space="preserve"> of learning</w:t>
      </w:r>
      <w:r w:rsidR="009A18C3" w:rsidRPr="00F101A0">
        <w:rPr>
          <w:rFonts w:ascii="Arial" w:hAnsi="Arial" w:cs="Arial"/>
          <w:sz w:val="24"/>
          <w:szCs w:val="24"/>
        </w:rPr>
        <w:t xml:space="preserve"> outcomes</w:t>
      </w:r>
      <w:r w:rsidR="006F6901" w:rsidRPr="00F101A0">
        <w:rPr>
          <w:rFonts w:ascii="Arial" w:hAnsi="Arial" w:cs="Arial"/>
          <w:sz w:val="24"/>
          <w:szCs w:val="24"/>
        </w:rPr>
        <w:t xml:space="preserve">. </w:t>
      </w:r>
      <w:r w:rsidR="003E58FD" w:rsidRPr="00F101A0">
        <w:rPr>
          <w:rFonts w:ascii="Arial" w:hAnsi="Arial" w:cs="Arial"/>
          <w:sz w:val="24"/>
          <w:szCs w:val="24"/>
        </w:rPr>
        <w:t>It was argued</w:t>
      </w:r>
      <w:r w:rsidR="006B1EFF" w:rsidRPr="00F101A0">
        <w:rPr>
          <w:rFonts w:ascii="Arial" w:hAnsi="Arial" w:cs="Arial"/>
          <w:sz w:val="24"/>
          <w:szCs w:val="24"/>
        </w:rPr>
        <w:t xml:space="preserve"> that “</w:t>
      </w:r>
      <w:r w:rsidR="006B1EFF" w:rsidRPr="00F101A0">
        <w:rPr>
          <w:rFonts w:ascii="Arial" w:hAnsi="Arial" w:cs="Arial"/>
          <w:i/>
          <w:iCs/>
          <w:sz w:val="24"/>
          <w:szCs w:val="24"/>
        </w:rPr>
        <w:t>facility</w:t>
      </w:r>
      <w:r w:rsidR="006B1EFF" w:rsidRPr="00F101A0">
        <w:rPr>
          <w:rFonts w:ascii="Arial" w:hAnsi="Arial" w:cs="Arial"/>
          <w:sz w:val="24"/>
          <w:szCs w:val="24"/>
        </w:rPr>
        <w:t>” refer</w:t>
      </w:r>
      <w:r w:rsidR="00607548">
        <w:rPr>
          <w:rFonts w:ascii="Arial" w:hAnsi="Arial" w:cs="Arial"/>
          <w:sz w:val="24"/>
          <w:szCs w:val="24"/>
        </w:rPr>
        <w:t>red</w:t>
      </w:r>
      <w:r w:rsidR="006B1EFF" w:rsidRPr="00F101A0">
        <w:rPr>
          <w:rFonts w:ascii="Arial" w:hAnsi="Arial" w:cs="Arial"/>
          <w:sz w:val="24"/>
          <w:szCs w:val="24"/>
        </w:rPr>
        <w:t xml:space="preserve"> to the amenities, the </w:t>
      </w:r>
      <w:r w:rsidR="00670540" w:rsidRPr="00F101A0">
        <w:rPr>
          <w:rFonts w:ascii="Arial" w:hAnsi="Arial" w:cs="Arial"/>
          <w:sz w:val="24"/>
          <w:szCs w:val="24"/>
        </w:rPr>
        <w:t>building,</w:t>
      </w:r>
      <w:r w:rsidR="006B1EFF" w:rsidRPr="00F101A0">
        <w:rPr>
          <w:rFonts w:ascii="Arial" w:hAnsi="Arial" w:cs="Arial"/>
          <w:sz w:val="24"/>
          <w:szCs w:val="24"/>
        </w:rPr>
        <w:t xml:space="preserve"> </w:t>
      </w:r>
      <w:r w:rsidR="00640A41" w:rsidRPr="00F101A0">
        <w:rPr>
          <w:rFonts w:ascii="Arial" w:hAnsi="Arial" w:cs="Arial"/>
          <w:sz w:val="24"/>
          <w:szCs w:val="24"/>
        </w:rPr>
        <w:t xml:space="preserve">equipment, </w:t>
      </w:r>
      <w:r w:rsidR="003E58FD" w:rsidRPr="00F101A0">
        <w:rPr>
          <w:rFonts w:ascii="Arial" w:hAnsi="Arial" w:cs="Arial"/>
          <w:sz w:val="24"/>
          <w:szCs w:val="24"/>
        </w:rPr>
        <w:t>etc.</w:t>
      </w:r>
      <w:r w:rsidR="008A491C" w:rsidRPr="00F101A0">
        <w:rPr>
          <w:rFonts w:ascii="Arial" w:hAnsi="Arial" w:cs="Arial"/>
          <w:sz w:val="24"/>
          <w:szCs w:val="24"/>
        </w:rPr>
        <w:t xml:space="preserve">, </w:t>
      </w:r>
      <w:r w:rsidR="009A18C3" w:rsidRPr="00F101A0">
        <w:rPr>
          <w:rFonts w:ascii="Arial" w:hAnsi="Arial" w:cs="Arial"/>
          <w:sz w:val="24"/>
          <w:szCs w:val="24"/>
        </w:rPr>
        <w:t xml:space="preserve">and that </w:t>
      </w:r>
      <w:r w:rsidR="008A491C" w:rsidRPr="00F101A0">
        <w:rPr>
          <w:rFonts w:ascii="Arial" w:hAnsi="Arial" w:cs="Arial"/>
          <w:sz w:val="24"/>
          <w:szCs w:val="24"/>
        </w:rPr>
        <w:t xml:space="preserve">given </w:t>
      </w:r>
      <w:r w:rsidR="009A18C3" w:rsidRPr="00F101A0">
        <w:rPr>
          <w:rFonts w:ascii="Arial" w:hAnsi="Arial" w:cs="Arial"/>
          <w:sz w:val="24"/>
          <w:szCs w:val="24"/>
        </w:rPr>
        <w:t xml:space="preserve">the </w:t>
      </w:r>
      <w:r w:rsidR="008A491C" w:rsidRPr="00F101A0">
        <w:rPr>
          <w:rFonts w:ascii="Arial" w:hAnsi="Arial" w:cs="Arial"/>
          <w:sz w:val="24"/>
          <w:szCs w:val="24"/>
        </w:rPr>
        <w:t xml:space="preserve">high </w:t>
      </w:r>
      <w:r w:rsidR="005E247A" w:rsidRPr="00F101A0">
        <w:rPr>
          <w:rFonts w:ascii="Arial" w:hAnsi="Arial" w:cs="Arial"/>
          <w:sz w:val="24"/>
          <w:szCs w:val="24"/>
        </w:rPr>
        <w:t xml:space="preserve">costs </w:t>
      </w:r>
      <w:r w:rsidR="00175E3E" w:rsidRPr="00F101A0">
        <w:rPr>
          <w:rFonts w:ascii="Arial" w:hAnsi="Arial" w:cs="Arial"/>
          <w:sz w:val="24"/>
          <w:szCs w:val="24"/>
        </w:rPr>
        <w:t>of</w:t>
      </w:r>
      <w:r w:rsidR="005E247A" w:rsidRPr="00F101A0">
        <w:rPr>
          <w:rFonts w:ascii="Arial" w:hAnsi="Arial" w:cs="Arial"/>
          <w:sz w:val="24"/>
          <w:szCs w:val="24"/>
        </w:rPr>
        <w:t xml:space="preserve"> </w:t>
      </w:r>
      <w:r w:rsidR="008A491C" w:rsidRPr="00F101A0">
        <w:rPr>
          <w:rFonts w:ascii="Arial" w:hAnsi="Arial" w:cs="Arial"/>
          <w:sz w:val="24"/>
          <w:szCs w:val="24"/>
        </w:rPr>
        <w:t xml:space="preserve">improving </w:t>
      </w:r>
      <w:r w:rsidR="00D83B8F" w:rsidRPr="00F101A0">
        <w:rPr>
          <w:rFonts w:ascii="Arial" w:hAnsi="Arial" w:cs="Arial"/>
          <w:sz w:val="24"/>
          <w:szCs w:val="24"/>
        </w:rPr>
        <w:t xml:space="preserve">premises </w:t>
      </w:r>
      <w:r w:rsidR="006B1EFF" w:rsidRPr="00F101A0">
        <w:rPr>
          <w:rFonts w:ascii="Arial" w:hAnsi="Arial" w:cs="Arial"/>
          <w:sz w:val="24"/>
          <w:szCs w:val="24"/>
        </w:rPr>
        <w:t xml:space="preserve">where training is offered, </w:t>
      </w:r>
      <w:r w:rsidR="009A18C3" w:rsidRPr="00F101A0">
        <w:rPr>
          <w:rFonts w:ascii="Arial" w:hAnsi="Arial" w:cs="Arial"/>
          <w:sz w:val="24"/>
          <w:szCs w:val="24"/>
        </w:rPr>
        <w:t xml:space="preserve">this </w:t>
      </w:r>
      <w:r w:rsidR="00D83B8F" w:rsidRPr="00F101A0">
        <w:rPr>
          <w:rFonts w:ascii="Arial" w:hAnsi="Arial" w:cs="Arial"/>
          <w:sz w:val="24"/>
          <w:szCs w:val="24"/>
        </w:rPr>
        <w:t>ma</w:t>
      </w:r>
      <w:r w:rsidR="00607548">
        <w:rPr>
          <w:rFonts w:ascii="Arial" w:hAnsi="Arial" w:cs="Arial"/>
          <w:sz w:val="24"/>
          <w:szCs w:val="24"/>
        </w:rPr>
        <w:t>de</w:t>
      </w:r>
      <w:r w:rsidR="00D83B8F" w:rsidRPr="00F101A0">
        <w:rPr>
          <w:rFonts w:ascii="Arial" w:hAnsi="Arial" w:cs="Arial"/>
          <w:sz w:val="24"/>
          <w:szCs w:val="24"/>
        </w:rPr>
        <w:t xml:space="preserve"> </w:t>
      </w:r>
      <w:r w:rsidR="006B1EFF" w:rsidRPr="00F101A0">
        <w:rPr>
          <w:rFonts w:ascii="Arial" w:hAnsi="Arial" w:cs="Arial"/>
          <w:sz w:val="24"/>
          <w:szCs w:val="24"/>
        </w:rPr>
        <w:t xml:space="preserve">it difficult </w:t>
      </w:r>
      <w:r w:rsidR="00D83B8F" w:rsidRPr="00F101A0">
        <w:rPr>
          <w:rFonts w:ascii="Arial" w:hAnsi="Arial" w:cs="Arial"/>
          <w:sz w:val="24"/>
          <w:szCs w:val="24"/>
        </w:rPr>
        <w:t xml:space="preserve">for such issues </w:t>
      </w:r>
      <w:r w:rsidR="006B1EFF" w:rsidRPr="00F101A0">
        <w:rPr>
          <w:rFonts w:ascii="Arial" w:hAnsi="Arial" w:cs="Arial"/>
          <w:sz w:val="24"/>
          <w:szCs w:val="24"/>
        </w:rPr>
        <w:t>to</w:t>
      </w:r>
      <w:r w:rsidR="0074251A" w:rsidRPr="00F101A0">
        <w:rPr>
          <w:rFonts w:ascii="Arial" w:hAnsi="Arial" w:cs="Arial"/>
          <w:sz w:val="24"/>
          <w:szCs w:val="24"/>
        </w:rPr>
        <w:t xml:space="preserve"> be dealt with under the </w:t>
      </w:r>
      <w:r w:rsidR="00103EA0" w:rsidRPr="00F101A0">
        <w:rPr>
          <w:rFonts w:ascii="Arial" w:hAnsi="Arial" w:cs="Arial"/>
          <w:sz w:val="24"/>
          <w:szCs w:val="24"/>
        </w:rPr>
        <w:t>Protocol on Trade in Services</w:t>
      </w:r>
      <w:r w:rsidR="0074251A" w:rsidRPr="00F101A0">
        <w:rPr>
          <w:rFonts w:ascii="Arial" w:hAnsi="Arial" w:cs="Arial"/>
          <w:sz w:val="24"/>
          <w:szCs w:val="24"/>
        </w:rPr>
        <w:t>.</w:t>
      </w:r>
    </w:p>
    <w:p w14:paraId="28C5E22D" w14:textId="5055552C" w:rsidR="00E37194" w:rsidRPr="00F101A0" w:rsidRDefault="00CB7EEA" w:rsidP="00F101A0">
      <w:pPr>
        <w:pStyle w:val="ListParagraph"/>
        <w:numPr>
          <w:ilvl w:val="0"/>
          <w:numId w:val="9"/>
        </w:numPr>
        <w:spacing w:before="240" w:after="0" w:line="312" w:lineRule="auto"/>
        <w:ind w:left="1530" w:hanging="679"/>
        <w:jc w:val="both"/>
        <w:rPr>
          <w:rFonts w:ascii="Arial" w:hAnsi="Arial" w:cs="Arial"/>
          <w:sz w:val="24"/>
          <w:szCs w:val="24"/>
        </w:rPr>
      </w:pPr>
      <w:r w:rsidRPr="00F101A0">
        <w:rPr>
          <w:rFonts w:ascii="Arial" w:hAnsi="Arial" w:cs="Arial"/>
          <w:sz w:val="24"/>
          <w:szCs w:val="24"/>
        </w:rPr>
        <w:t>A</w:t>
      </w:r>
      <w:r w:rsidR="006D74BD" w:rsidRPr="00F101A0">
        <w:rPr>
          <w:rFonts w:ascii="Arial" w:hAnsi="Arial" w:cs="Arial"/>
          <w:sz w:val="24"/>
          <w:szCs w:val="24"/>
        </w:rPr>
        <w:t xml:space="preserve"> </w:t>
      </w:r>
      <w:r w:rsidRPr="00F101A0">
        <w:rPr>
          <w:rFonts w:ascii="Arial" w:hAnsi="Arial" w:cs="Arial"/>
          <w:sz w:val="24"/>
          <w:szCs w:val="24"/>
        </w:rPr>
        <w:t xml:space="preserve">question was raised as to </w:t>
      </w:r>
      <w:r w:rsidR="006D74BD" w:rsidRPr="00F101A0">
        <w:rPr>
          <w:rFonts w:ascii="Arial" w:hAnsi="Arial" w:cs="Arial"/>
          <w:sz w:val="24"/>
          <w:szCs w:val="24"/>
        </w:rPr>
        <w:t>whether “</w:t>
      </w:r>
      <w:r w:rsidR="0040365F" w:rsidRPr="00F101A0">
        <w:rPr>
          <w:rFonts w:ascii="Arial" w:hAnsi="Arial" w:cs="Arial"/>
          <w:i/>
          <w:iCs/>
          <w:sz w:val="24"/>
          <w:szCs w:val="24"/>
        </w:rPr>
        <w:t>internship</w:t>
      </w:r>
      <w:r w:rsidR="006D74BD" w:rsidRPr="00F101A0">
        <w:rPr>
          <w:rFonts w:ascii="Arial" w:hAnsi="Arial" w:cs="Arial"/>
          <w:sz w:val="24"/>
          <w:szCs w:val="24"/>
        </w:rPr>
        <w:t>” f</w:t>
      </w:r>
      <w:r w:rsidR="00607548">
        <w:rPr>
          <w:rFonts w:ascii="Arial" w:hAnsi="Arial" w:cs="Arial"/>
          <w:sz w:val="24"/>
          <w:szCs w:val="24"/>
        </w:rPr>
        <w:t>ell</w:t>
      </w:r>
      <w:r w:rsidR="0040365F" w:rsidRPr="00F101A0">
        <w:rPr>
          <w:rFonts w:ascii="Arial" w:hAnsi="Arial" w:cs="Arial"/>
          <w:sz w:val="24"/>
          <w:szCs w:val="24"/>
        </w:rPr>
        <w:t xml:space="preserve"> under the scope of </w:t>
      </w:r>
      <w:r w:rsidR="00E57D7F" w:rsidRPr="00F101A0">
        <w:rPr>
          <w:rFonts w:ascii="Arial" w:hAnsi="Arial" w:cs="Arial"/>
          <w:sz w:val="24"/>
          <w:szCs w:val="24"/>
        </w:rPr>
        <w:t>“</w:t>
      </w:r>
      <w:r w:rsidR="0040365F" w:rsidRPr="00F101A0">
        <w:rPr>
          <w:rFonts w:ascii="Arial" w:hAnsi="Arial" w:cs="Arial"/>
          <w:sz w:val="24"/>
          <w:szCs w:val="24"/>
        </w:rPr>
        <w:t>training facilities</w:t>
      </w:r>
      <w:r w:rsidR="00E57D7F" w:rsidRPr="00F101A0">
        <w:rPr>
          <w:rFonts w:ascii="Arial" w:hAnsi="Arial" w:cs="Arial"/>
          <w:sz w:val="24"/>
          <w:szCs w:val="24"/>
        </w:rPr>
        <w:t>”</w:t>
      </w:r>
      <w:r w:rsidR="009328FB" w:rsidRPr="00F101A0">
        <w:rPr>
          <w:rFonts w:ascii="Arial" w:hAnsi="Arial" w:cs="Arial"/>
          <w:sz w:val="24"/>
          <w:szCs w:val="24"/>
        </w:rPr>
        <w:t>.</w:t>
      </w:r>
      <w:r w:rsidR="00FE3C41" w:rsidRPr="00F101A0">
        <w:rPr>
          <w:rFonts w:ascii="Arial" w:hAnsi="Arial" w:cs="Arial"/>
          <w:sz w:val="24"/>
          <w:szCs w:val="24"/>
        </w:rPr>
        <w:t xml:space="preserve"> It was explained that</w:t>
      </w:r>
      <w:r w:rsidR="006A6211" w:rsidRPr="00F101A0">
        <w:rPr>
          <w:rFonts w:ascii="Arial" w:hAnsi="Arial" w:cs="Arial"/>
          <w:sz w:val="24"/>
          <w:szCs w:val="24"/>
        </w:rPr>
        <w:t xml:space="preserve"> internship </w:t>
      </w:r>
      <w:r w:rsidR="00607548">
        <w:rPr>
          <w:rFonts w:ascii="Arial" w:hAnsi="Arial" w:cs="Arial"/>
          <w:sz w:val="24"/>
          <w:szCs w:val="24"/>
        </w:rPr>
        <w:t>wa</w:t>
      </w:r>
      <w:r w:rsidR="00AF15A1" w:rsidRPr="00F101A0">
        <w:rPr>
          <w:rFonts w:ascii="Arial" w:hAnsi="Arial" w:cs="Arial"/>
          <w:sz w:val="24"/>
          <w:szCs w:val="24"/>
        </w:rPr>
        <w:t>s</w:t>
      </w:r>
      <w:r w:rsidR="006A6211" w:rsidRPr="00F101A0">
        <w:rPr>
          <w:rFonts w:ascii="Arial" w:hAnsi="Arial" w:cs="Arial"/>
          <w:sz w:val="24"/>
          <w:szCs w:val="24"/>
        </w:rPr>
        <w:t xml:space="preserve"> part of the course </w:t>
      </w:r>
      <w:r w:rsidR="00DA256F" w:rsidRPr="00F101A0">
        <w:rPr>
          <w:rFonts w:ascii="Arial" w:hAnsi="Arial" w:cs="Arial"/>
          <w:sz w:val="24"/>
          <w:szCs w:val="24"/>
        </w:rPr>
        <w:t>content and</w:t>
      </w:r>
      <w:r w:rsidR="00251A26" w:rsidRPr="00F101A0">
        <w:rPr>
          <w:rFonts w:ascii="Arial" w:hAnsi="Arial" w:cs="Arial"/>
          <w:sz w:val="24"/>
          <w:szCs w:val="24"/>
        </w:rPr>
        <w:t xml:space="preserve"> </w:t>
      </w:r>
      <w:r w:rsidR="00CD7E85" w:rsidRPr="00F101A0">
        <w:rPr>
          <w:rFonts w:ascii="Arial" w:hAnsi="Arial" w:cs="Arial"/>
          <w:sz w:val="24"/>
          <w:szCs w:val="24"/>
        </w:rPr>
        <w:t xml:space="preserve">may not </w:t>
      </w:r>
      <w:r w:rsidR="00DA3D33" w:rsidRPr="00F101A0">
        <w:rPr>
          <w:rFonts w:ascii="Arial" w:hAnsi="Arial" w:cs="Arial"/>
          <w:sz w:val="24"/>
          <w:szCs w:val="24"/>
        </w:rPr>
        <w:t xml:space="preserve">therefore </w:t>
      </w:r>
      <w:r w:rsidR="00CD7E85" w:rsidRPr="00F101A0">
        <w:rPr>
          <w:rFonts w:ascii="Arial" w:hAnsi="Arial" w:cs="Arial"/>
          <w:sz w:val="24"/>
          <w:szCs w:val="24"/>
        </w:rPr>
        <w:t>fall under</w:t>
      </w:r>
      <w:r w:rsidR="00251A26" w:rsidRPr="00F101A0">
        <w:rPr>
          <w:rFonts w:ascii="Arial" w:hAnsi="Arial" w:cs="Arial"/>
          <w:sz w:val="24"/>
          <w:szCs w:val="24"/>
        </w:rPr>
        <w:t xml:space="preserve"> “training facilities.”</w:t>
      </w:r>
    </w:p>
    <w:p w14:paraId="4F1C2F47" w14:textId="75E749EE" w:rsidR="002E6077" w:rsidRPr="00F101A0" w:rsidRDefault="00FC000A" w:rsidP="00F101A0">
      <w:pPr>
        <w:pStyle w:val="ListParagraph"/>
        <w:numPr>
          <w:ilvl w:val="0"/>
          <w:numId w:val="9"/>
        </w:numPr>
        <w:shd w:val="clear" w:color="auto" w:fill="D9D9D9" w:themeFill="background1" w:themeFillShade="D9"/>
        <w:spacing w:before="240" w:after="0" w:line="312" w:lineRule="auto"/>
        <w:ind w:left="1530" w:hanging="679"/>
        <w:jc w:val="both"/>
        <w:rPr>
          <w:rFonts w:ascii="Arial" w:hAnsi="Arial" w:cs="Arial"/>
          <w:sz w:val="24"/>
          <w:szCs w:val="24"/>
          <w:u w:val="single"/>
        </w:rPr>
      </w:pPr>
      <w:r w:rsidRPr="00F101A0">
        <w:rPr>
          <w:rFonts w:ascii="Arial" w:hAnsi="Arial" w:cs="Arial"/>
          <w:sz w:val="24"/>
          <w:szCs w:val="24"/>
          <w:u w:val="single"/>
        </w:rPr>
        <w:t>Conclusion 3</w:t>
      </w:r>
      <w:r w:rsidR="00021C96" w:rsidRPr="00F101A0">
        <w:rPr>
          <w:rFonts w:ascii="Arial" w:hAnsi="Arial" w:cs="Arial"/>
          <w:sz w:val="24"/>
          <w:szCs w:val="24"/>
          <w:u w:val="single"/>
        </w:rPr>
        <w:t>:</w:t>
      </w:r>
      <w:r w:rsidR="00C93A28" w:rsidRPr="00F101A0">
        <w:rPr>
          <w:rFonts w:ascii="Arial" w:hAnsi="Arial" w:cs="Arial"/>
          <w:sz w:val="24"/>
          <w:szCs w:val="24"/>
          <w:u w:val="single"/>
        </w:rPr>
        <w:t xml:space="preserve"> </w:t>
      </w:r>
      <w:r w:rsidR="00C93A28" w:rsidRPr="00F101A0">
        <w:rPr>
          <w:rFonts w:ascii="Arial" w:hAnsi="Arial" w:cs="Arial"/>
          <w:sz w:val="24"/>
          <w:szCs w:val="24"/>
        </w:rPr>
        <w:t>Introduction</w:t>
      </w:r>
      <w:r w:rsidR="00C93A28" w:rsidRPr="00F101A0">
        <w:rPr>
          <w:rFonts w:ascii="Arial" w:hAnsi="Arial" w:cs="Arial"/>
          <w:sz w:val="24"/>
          <w:szCs w:val="24"/>
          <w:u w:val="single"/>
        </w:rPr>
        <w:t xml:space="preserve"> [Section 1]</w:t>
      </w:r>
    </w:p>
    <w:p w14:paraId="562613E7" w14:textId="0A17ECC2" w:rsidR="00A14FF3" w:rsidRPr="00F101A0" w:rsidRDefault="0093075F" w:rsidP="00F101A0">
      <w:pPr>
        <w:pStyle w:val="ListParagraph"/>
        <w:numPr>
          <w:ilvl w:val="1"/>
          <w:numId w:val="4"/>
        </w:numPr>
        <w:shd w:val="clear" w:color="auto" w:fill="D9D9D9" w:themeFill="background1" w:themeFillShade="D9"/>
        <w:spacing w:before="240" w:after="0" w:line="312" w:lineRule="auto"/>
        <w:ind w:left="2552" w:hanging="851"/>
        <w:jc w:val="both"/>
        <w:rPr>
          <w:rFonts w:ascii="Arial" w:hAnsi="Arial" w:cs="Arial"/>
          <w:sz w:val="24"/>
          <w:szCs w:val="24"/>
        </w:rPr>
      </w:pPr>
      <w:r w:rsidRPr="00F101A0">
        <w:rPr>
          <w:rFonts w:ascii="Arial" w:hAnsi="Arial" w:cs="Arial"/>
          <w:sz w:val="24"/>
          <w:szCs w:val="24"/>
        </w:rPr>
        <w:t>D</w:t>
      </w:r>
      <w:r w:rsidR="007A6344" w:rsidRPr="00F101A0">
        <w:rPr>
          <w:rFonts w:ascii="Arial" w:hAnsi="Arial" w:cs="Arial"/>
          <w:sz w:val="24"/>
          <w:szCs w:val="24"/>
        </w:rPr>
        <w:t xml:space="preserve">elete </w:t>
      </w:r>
      <w:r w:rsidR="00593F4E" w:rsidRPr="00F101A0">
        <w:rPr>
          <w:rFonts w:ascii="Arial" w:hAnsi="Arial" w:cs="Arial"/>
          <w:sz w:val="24"/>
          <w:szCs w:val="24"/>
        </w:rPr>
        <w:t>“</w:t>
      </w:r>
      <w:r w:rsidR="00593F4E" w:rsidRPr="00F101A0">
        <w:rPr>
          <w:rFonts w:ascii="Arial" w:hAnsi="Arial" w:cs="Arial"/>
          <w:i/>
          <w:iCs/>
          <w:sz w:val="24"/>
          <w:szCs w:val="24"/>
        </w:rPr>
        <w:t>training facilities</w:t>
      </w:r>
      <w:r w:rsidR="00593F4E" w:rsidRPr="00F101A0">
        <w:rPr>
          <w:rFonts w:ascii="Arial" w:hAnsi="Arial" w:cs="Arial"/>
          <w:sz w:val="24"/>
          <w:szCs w:val="24"/>
        </w:rPr>
        <w:t>”</w:t>
      </w:r>
      <w:r w:rsidR="00057A84" w:rsidRPr="00F101A0">
        <w:rPr>
          <w:rFonts w:ascii="Arial" w:hAnsi="Arial" w:cs="Arial"/>
          <w:sz w:val="24"/>
          <w:szCs w:val="24"/>
        </w:rPr>
        <w:t xml:space="preserve"> from </w:t>
      </w:r>
      <w:r w:rsidR="00326CAC" w:rsidRPr="00F101A0">
        <w:rPr>
          <w:rFonts w:ascii="Arial" w:hAnsi="Arial" w:cs="Arial"/>
          <w:sz w:val="24"/>
          <w:szCs w:val="24"/>
        </w:rPr>
        <w:t>paragraph 1.2</w:t>
      </w:r>
      <w:r w:rsidR="005A26FD" w:rsidRPr="00F101A0">
        <w:rPr>
          <w:rFonts w:ascii="Arial" w:hAnsi="Arial" w:cs="Arial"/>
          <w:sz w:val="24"/>
          <w:szCs w:val="24"/>
        </w:rPr>
        <w:t xml:space="preserve"> of the</w:t>
      </w:r>
      <w:r w:rsidR="00057A84" w:rsidRPr="00F101A0">
        <w:rPr>
          <w:rFonts w:ascii="Arial" w:hAnsi="Arial" w:cs="Arial"/>
          <w:sz w:val="24"/>
          <w:szCs w:val="24"/>
        </w:rPr>
        <w:t xml:space="preserve"> </w:t>
      </w:r>
      <w:r w:rsidR="00DA3D33" w:rsidRPr="00F101A0">
        <w:rPr>
          <w:rFonts w:ascii="Arial" w:hAnsi="Arial" w:cs="Arial"/>
          <w:sz w:val="24"/>
          <w:szCs w:val="24"/>
        </w:rPr>
        <w:t xml:space="preserve">draft </w:t>
      </w:r>
      <w:proofErr w:type="gramStart"/>
      <w:r w:rsidR="007A6344" w:rsidRPr="00F101A0">
        <w:rPr>
          <w:rFonts w:ascii="Arial" w:hAnsi="Arial" w:cs="Arial"/>
          <w:sz w:val="24"/>
          <w:szCs w:val="24"/>
        </w:rPr>
        <w:t>Guidelines</w:t>
      </w:r>
      <w:r w:rsidR="00607548">
        <w:rPr>
          <w:rFonts w:ascii="Arial" w:hAnsi="Arial" w:cs="Arial"/>
          <w:sz w:val="24"/>
          <w:szCs w:val="24"/>
        </w:rPr>
        <w:t>;</w:t>
      </w:r>
      <w:proofErr w:type="gramEnd"/>
    </w:p>
    <w:p w14:paraId="083BF40E" w14:textId="556CB427" w:rsidR="00AD29C3" w:rsidRPr="00F101A0" w:rsidRDefault="00DA3D33" w:rsidP="000953A4">
      <w:pPr>
        <w:pStyle w:val="ListParagraph"/>
        <w:numPr>
          <w:ilvl w:val="1"/>
          <w:numId w:val="4"/>
        </w:numPr>
        <w:shd w:val="clear" w:color="auto" w:fill="D9D9D9" w:themeFill="background1" w:themeFillShade="D9"/>
        <w:spacing w:after="0" w:line="312" w:lineRule="auto"/>
        <w:ind w:left="2552" w:hanging="851"/>
        <w:jc w:val="both"/>
        <w:rPr>
          <w:rFonts w:ascii="Arial" w:hAnsi="Arial" w:cs="Arial"/>
          <w:sz w:val="24"/>
          <w:szCs w:val="24"/>
        </w:rPr>
      </w:pPr>
      <w:r w:rsidRPr="00F101A0">
        <w:rPr>
          <w:rFonts w:ascii="Arial" w:hAnsi="Arial" w:cs="Arial"/>
          <w:sz w:val="24"/>
          <w:szCs w:val="24"/>
        </w:rPr>
        <w:t>I</w:t>
      </w:r>
      <w:r w:rsidR="00AD29C3" w:rsidRPr="00F101A0">
        <w:rPr>
          <w:rFonts w:ascii="Arial" w:hAnsi="Arial" w:cs="Arial"/>
          <w:sz w:val="24"/>
          <w:szCs w:val="24"/>
        </w:rPr>
        <w:t>nclude</w:t>
      </w:r>
      <w:r w:rsidR="0004329D" w:rsidRPr="00F101A0">
        <w:rPr>
          <w:rFonts w:ascii="Arial" w:hAnsi="Arial" w:cs="Arial"/>
          <w:sz w:val="24"/>
          <w:szCs w:val="24"/>
        </w:rPr>
        <w:t xml:space="preserve"> a </w:t>
      </w:r>
      <w:r w:rsidR="001030F8" w:rsidRPr="00F101A0">
        <w:rPr>
          <w:rFonts w:ascii="Arial" w:hAnsi="Arial" w:cs="Arial"/>
          <w:sz w:val="24"/>
          <w:szCs w:val="24"/>
        </w:rPr>
        <w:t xml:space="preserve">definition section, </w:t>
      </w:r>
      <w:r w:rsidR="00AD29C3" w:rsidRPr="00F101A0">
        <w:rPr>
          <w:rFonts w:ascii="Arial" w:hAnsi="Arial" w:cs="Arial"/>
          <w:sz w:val="24"/>
          <w:szCs w:val="24"/>
        </w:rPr>
        <w:t xml:space="preserve">at the beginning of the </w:t>
      </w:r>
      <w:r w:rsidRPr="00F101A0">
        <w:rPr>
          <w:rFonts w:ascii="Arial" w:hAnsi="Arial" w:cs="Arial"/>
          <w:sz w:val="24"/>
          <w:szCs w:val="24"/>
        </w:rPr>
        <w:t xml:space="preserve">draft </w:t>
      </w:r>
      <w:r w:rsidR="00AD29C3" w:rsidRPr="00F101A0">
        <w:rPr>
          <w:rFonts w:ascii="Arial" w:hAnsi="Arial" w:cs="Arial"/>
          <w:sz w:val="24"/>
          <w:szCs w:val="24"/>
        </w:rPr>
        <w:t xml:space="preserve">Guidelines, </w:t>
      </w:r>
      <w:r w:rsidR="00504A26" w:rsidRPr="00F101A0">
        <w:rPr>
          <w:rFonts w:ascii="Arial" w:hAnsi="Arial" w:cs="Arial"/>
          <w:sz w:val="24"/>
          <w:szCs w:val="24"/>
        </w:rPr>
        <w:t xml:space="preserve">explaining </w:t>
      </w:r>
      <w:r w:rsidR="00465347" w:rsidRPr="00F101A0">
        <w:rPr>
          <w:rFonts w:ascii="Arial" w:hAnsi="Arial" w:cs="Arial"/>
          <w:sz w:val="24"/>
          <w:szCs w:val="24"/>
        </w:rPr>
        <w:t>or interpreting</w:t>
      </w:r>
      <w:r w:rsidR="001030F8" w:rsidRPr="00F101A0">
        <w:rPr>
          <w:rFonts w:ascii="Arial" w:hAnsi="Arial" w:cs="Arial"/>
          <w:sz w:val="24"/>
          <w:szCs w:val="24"/>
        </w:rPr>
        <w:t xml:space="preserve"> </w:t>
      </w:r>
      <w:r w:rsidR="00465347" w:rsidRPr="00F101A0">
        <w:rPr>
          <w:rFonts w:ascii="Arial" w:hAnsi="Arial" w:cs="Arial"/>
          <w:sz w:val="24"/>
          <w:szCs w:val="24"/>
        </w:rPr>
        <w:t>technical word</w:t>
      </w:r>
      <w:r w:rsidR="00637EB7" w:rsidRPr="00F101A0">
        <w:rPr>
          <w:rFonts w:ascii="Arial" w:hAnsi="Arial" w:cs="Arial"/>
          <w:sz w:val="24"/>
          <w:szCs w:val="24"/>
        </w:rPr>
        <w:t>s</w:t>
      </w:r>
      <w:r w:rsidR="00465347" w:rsidRPr="00F101A0">
        <w:rPr>
          <w:rFonts w:ascii="Arial" w:hAnsi="Arial" w:cs="Arial"/>
          <w:sz w:val="24"/>
          <w:szCs w:val="24"/>
        </w:rPr>
        <w:t xml:space="preserve"> </w:t>
      </w:r>
      <w:r w:rsidR="001030F8" w:rsidRPr="00F101A0">
        <w:rPr>
          <w:rFonts w:ascii="Arial" w:hAnsi="Arial" w:cs="Arial"/>
          <w:sz w:val="24"/>
          <w:szCs w:val="24"/>
        </w:rPr>
        <w:t>and</w:t>
      </w:r>
      <w:r w:rsidR="00465347" w:rsidRPr="00F101A0">
        <w:rPr>
          <w:rFonts w:ascii="Arial" w:hAnsi="Arial" w:cs="Arial"/>
          <w:sz w:val="24"/>
          <w:szCs w:val="24"/>
        </w:rPr>
        <w:t xml:space="preserve"> </w:t>
      </w:r>
      <w:r w:rsidR="00504A26" w:rsidRPr="00F101A0">
        <w:rPr>
          <w:rFonts w:ascii="Arial" w:hAnsi="Arial" w:cs="Arial"/>
          <w:sz w:val="24"/>
          <w:szCs w:val="24"/>
        </w:rPr>
        <w:lastRenderedPageBreak/>
        <w:t>terminologies used in the</w:t>
      </w:r>
      <w:r w:rsidR="00897BA6" w:rsidRPr="00F101A0">
        <w:rPr>
          <w:rFonts w:ascii="Arial" w:hAnsi="Arial" w:cs="Arial"/>
          <w:sz w:val="24"/>
          <w:szCs w:val="24"/>
        </w:rPr>
        <w:t xml:space="preserve"> </w:t>
      </w:r>
      <w:r w:rsidRPr="00F101A0">
        <w:rPr>
          <w:rFonts w:ascii="Arial" w:hAnsi="Arial" w:cs="Arial"/>
          <w:sz w:val="24"/>
          <w:szCs w:val="24"/>
        </w:rPr>
        <w:t xml:space="preserve">draft </w:t>
      </w:r>
      <w:r w:rsidR="00897BA6" w:rsidRPr="00F101A0">
        <w:rPr>
          <w:rFonts w:ascii="Arial" w:hAnsi="Arial" w:cs="Arial"/>
          <w:sz w:val="24"/>
          <w:szCs w:val="24"/>
        </w:rPr>
        <w:t>Guideline</w:t>
      </w:r>
      <w:r w:rsidRPr="00F101A0">
        <w:rPr>
          <w:rFonts w:ascii="Arial" w:hAnsi="Arial" w:cs="Arial"/>
          <w:sz w:val="24"/>
          <w:szCs w:val="24"/>
        </w:rPr>
        <w:t>s</w:t>
      </w:r>
      <w:r w:rsidR="00897BA6" w:rsidRPr="00F101A0">
        <w:rPr>
          <w:rFonts w:ascii="Arial" w:hAnsi="Arial" w:cs="Arial"/>
          <w:sz w:val="24"/>
          <w:szCs w:val="24"/>
        </w:rPr>
        <w:t xml:space="preserve"> e.g.,</w:t>
      </w:r>
      <w:r w:rsidR="00AD29C3" w:rsidRPr="00F101A0">
        <w:rPr>
          <w:rFonts w:ascii="Arial" w:hAnsi="Arial" w:cs="Arial"/>
          <w:sz w:val="24"/>
          <w:szCs w:val="24"/>
        </w:rPr>
        <w:t xml:space="preserve"> “</w:t>
      </w:r>
      <w:r w:rsidR="00AD29C3" w:rsidRPr="00F101A0">
        <w:rPr>
          <w:rFonts w:ascii="Arial" w:hAnsi="Arial" w:cs="Arial"/>
          <w:i/>
          <w:iCs/>
          <w:sz w:val="24"/>
          <w:szCs w:val="24"/>
        </w:rPr>
        <w:t>educational</w:t>
      </w:r>
      <w:r w:rsidR="00AD29C3" w:rsidRPr="00F101A0">
        <w:rPr>
          <w:rFonts w:ascii="Arial" w:hAnsi="Arial" w:cs="Arial"/>
          <w:sz w:val="24"/>
          <w:szCs w:val="24"/>
        </w:rPr>
        <w:t xml:space="preserve"> </w:t>
      </w:r>
      <w:r w:rsidR="00AD29C3" w:rsidRPr="00F101A0">
        <w:rPr>
          <w:rFonts w:ascii="Arial" w:hAnsi="Arial" w:cs="Arial"/>
          <w:i/>
          <w:iCs/>
          <w:sz w:val="24"/>
          <w:szCs w:val="24"/>
        </w:rPr>
        <w:t>system</w:t>
      </w:r>
      <w:r w:rsidR="00AD29C3" w:rsidRPr="00F101A0">
        <w:rPr>
          <w:rFonts w:ascii="Arial" w:hAnsi="Arial" w:cs="Arial"/>
          <w:sz w:val="24"/>
          <w:szCs w:val="24"/>
        </w:rPr>
        <w:t>”</w:t>
      </w:r>
      <w:r w:rsidR="00AC286E" w:rsidRPr="00F101A0">
        <w:rPr>
          <w:rFonts w:ascii="Arial" w:hAnsi="Arial" w:cs="Arial"/>
          <w:sz w:val="24"/>
          <w:szCs w:val="24"/>
        </w:rPr>
        <w:t xml:space="preserve"> and</w:t>
      </w:r>
      <w:r w:rsidR="00AD29C3" w:rsidRPr="00F101A0">
        <w:rPr>
          <w:rFonts w:ascii="Arial" w:hAnsi="Arial" w:cs="Arial"/>
          <w:sz w:val="24"/>
          <w:szCs w:val="24"/>
        </w:rPr>
        <w:t xml:space="preserve"> “</w:t>
      </w:r>
      <w:r w:rsidR="00AD29C3" w:rsidRPr="00F101A0">
        <w:rPr>
          <w:rFonts w:ascii="Arial" w:hAnsi="Arial" w:cs="Arial"/>
          <w:i/>
          <w:iCs/>
          <w:sz w:val="24"/>
          <w:szCs w:val="24"/>
        </w:rPr>
        <w:t>MRA</w:t>
      </w:r>
      <w:proofErr w:type="gramStart"/>
      <w:r w:rsidR="00AD29C3" w:rsidRPr="00F101A0">
        <w:rPr>
          <w:rFonts w:ascii="Arial" w:hAnsi="Arial" w:cs="Arial"/>
          <w:sz w:val="24"/>
          <w:szCs w:val="24"/>
        </w:rPr>
        <w:t>”</w:t>
      </w:r>
      <w:r w:rsidR="00607548">
        <w:rPr>
          <w:rFonts w:ascii="Arial" w:hAnsi="Arial" w:cs="Arial"/>
          <w:sz w:val="24"/>
          <w:szCs w:val="24"/>
        </w:rPr>
        <w:t>;</w:t>
      </w:r>
      <w:proofErr w:type="gramEnd"/>
    </w:p>
    <w:p w14:paraId="665DC212" w14:textId="162F94A5" w:rsidR="00A14FF3" w:rsidRPr="00607548" w:rsidRDefault="00A14FF3" w:rsidP="00607548">
      <w:pPr>
        <w:pStyle w:val="ListParagraph"/>
        <w:numPr>
          <w:ilvl w:val="1"/>
          <w:numId w:val="4"/>
        </w:numPr>
        <w:shd w:val="clear" w:color="auto" w:fill="D9D9D9" w:themeFill="background1" w:themeFillShade="D9"/>
        <w:spacing w:after="0" w:line="312" w:lineRule="auto"/>
        <w:ind w:left="2552" w:hanging="851"/>
        <w:jc w:val="both"/>
        <w:rPr>
          <w:rFonts w:ascii="Arial" w:hAnsi="Arial" w:cs="Arial"/>
          <w:sz w:val="24"/>
          <w:szCs w:val="24"/>
        </w:rPr>
      </w:pPr>
      <w:r w:rsidRPr="00607548">
        <w:rPr>
          <w:rFonts w:ascii="Arial" w:hAnsi="Arial" w:cs="Arial"/>
          <w:sz w:val="24"/>
          <w:szCs w:val="24"/>
        </w:rPr>
        <w:t>Zimbabwe to propose a text to rephrase paragraph 6</w:t>
      </w:r>
      <w:r w:rsidR="00B071C1" w:rsidRPr="00607548">
        <w:rPr>
          <w:rFonts w:ascii="Arial" w:hAnsi="Arial" w:cs="Arial"/>
          <w:sz w:val="24"/>
          <w:szCs w:val="24"/>
        </w:rPr>
        <w:t xml:space="preserve"> </w:t>
      </w:r>
      <w:r w:rsidR="00A07ED4" w:rsidRPr="00607548">
        <w:rPr>
          <w:rFonts w:ascii="Arial" w:hAnsi="Arial" w:cs="Arial"/>
          <w:sz w:val="24"/>
          <w:szCs w:val="24"/>
        </w:rPr>
        <w:t>[</w:t>
      </w:r>
      <w:r w:rsidR="00A07ED4" w:rsidRPr="00607548">
        <w:rPr>
          <w:rFonts w:ascii="Arial" w:hAnsi="Arial" w:cs="Arial"/>
          <w:i/>
          <w:iCs/>
          <w:sz w:val="24"/>
          <w:szCs w:val="24"/>
        </w:rPr>
        <w:t>Required Qualifications]</w:t>
      </w:r>
      <w:r w:rsidR="00A07ED4" w:rsidRPr="00607548">
        <w:rPr>
          <w:rFonts w:ascii="Arial" w:hAnsi="Arial" w:cs="Arial"/>
          <w:sz w:val="24"/>
          <w:szCs w:val="24"/>
        </w:rPr>
        <w:t xml:space="preserve"> in</w:t>
      </w:r>
      <w:r w:rsidR="00B071C1" w:rsidRPr="00607548">
        <w:rPr>
          <w:rFonts w:ascii="Arial" w:hAnsi="Arial" w:cs="Arial"/>
          <w:sz w:val="24"/>
          <w:szCs w:val="24"/>
        </w:rPr>
        <w:t xml:space="preserve"> </w:t>
      </w:r>
      <w:r w:rsidR="00F43DAB" w:rsidRPr="00607548">
        <w:rPr>
          <w:rFonts w:ascii="Arial" w:hAnsi="Arial" w:cs="Arial"/>
          <w:sz w:val="24"/>
          <w:szCs w:val="24"/>
        </w:rPr>
        <w:t>Appendix</w:t>
      </w:r>
      <w:r w:rsidR="00B071C1" w:rsidRPr="00607548">
        <w:rPr>
          <w:rFonts w:ascii="Arial" w:hAnsi="Arial" w:cs="Arial"/>
          <w:sz w:val="24"/>
          <w:szCs w:val="24"/>
        </w:rPr>
        <w:t xml:space="preserve"> I of the draft Guideline</w:t>
      </w:r>
      <w:r w:rsidR="00DA3D33" w:rsidRPr="00607548">
        <w:rPr>
          <w:rFonts w:ascii="Arial" w:hAnsi="Arial" w:cs="Arial"/>
          <w:sz w:val="24"/>
          <w:szCs w:val="24"/>
        </w:rPr>
        <w:t>s</w:t>
      </w:r>
      <w:r w:rsidR="006B2110" w:rsidRPr="00607548">
        <w:rPr>
          <w:rFonts w:ascii="Arial" w:hAnsi="Arial" w:cs="Arial"/>
          <w:sz w:val="24"/>
          <w:szCs w:val="24"/>
        </w:rPr>
        <w:t xml:space="preserve"> </w:t>
      </w:r>
      <w:r w:rsidRPr="00607548">
        <w:rPr>
          <w:rFonts w:ascii="Arial" w:hAnsi="Arial" w:cs="Arial"/>
          <w:sz w:val="24"/>
          <w:szCs w:val="24"/>
        </w:rPr>
        <w:t xml:space="preserve">to provide </w:t>
      </w:r>
      <w:r w:rsidR="009904B4" w:rsidRPr="00607548">
        <w:rPr>
          <w:rFonts w:ascii="Arial" w:hAnsi="Arial" w:cs="Arial"/>
          <w:sz w:val="24"/>
          <w:szCs w:val="24"/>
        </w:rPr>
        <w:t>flexibility for sector/</w:t>
      </w:r>
      <w:proofErr w:type="gramStart"/>
      <w:r w:rsidRPr="00607548">
        <w:rPr>
          <w:rFonts w:ascii="Arial" w:hAnsi="Arial" w:cs="Arial"/>
          <w:sz w:val="24"/>
          <w:szCs w:val="24"/>
        </w:rPr>
        <w:t>profession</w:t>
      </w:r>
      <w:r w:rsidR="00DA3D33" w:rsidRPr="00607548">
        <w:rPr>
          <w:rFonts w:ascii="Arial" w:hAnsi="Arial" w:cs="Arial"/>
          <w:sz w:val="24"/>
          <w:szCs w:val="24"/>
        </w:rPr>
        <w:t>-</w:t>
      </w:r>
      <w:r w:rsidR="009904B4" w:rsidRPr="00607548">
        <w:rPr>
          <w:rFonts w:ascii="Arial" w:hAnsi="Arial" w:cs="Arial"/>
          <w:sz w:val="24"/>
          <w:szCs w:val="24"/>
        </w:rPr>
        <w:t>specific</w:t>
      </w:r>
      <w:proofErr w:type="gramEnd"/>
      <w:r w:rsidR="009904B4" w:rsidRPr="00607548">
        <w:rPr>
          <w:rFonts w:ascii="Arial" w:hAnsi="Arial" w:cs="Arial"/>
          <w:sz w:val="24"/>
          <w:szCs w:val="24"/>
        </w:rPr>
        <w:t xml:space="preserve"> MRAs </w:t>
      </w:r>
      <w:r w:rsidR="004E4D16" w:rsidRPr="00607548">
        <w:rPr>
          <w:rFonts w:ascii="Arial" w:hAnsi="Arial" w:cs="Arial"/>
          <w:sz w:val="24"/>
          <w:szCs w:val="24"/>
        </w:rPr>
        <w:t xml:space="preserve">to include any </w:t>
      </w:r>
      <w:r w:rsidR="00595212" w:rsidRPr="00607548">
        <w:rPr>
          <w:rFonts w:ascii="Arial" w:hAnsi="Arial" w:cs="Arial"/>
          <w:sz w:val="24"/>
          <w:szCs w:val="24"/>
        </w:rPr>
        <w:t xml:space="preserve">additional </w:t>
      </w:r>
      <w:r w:rsidR="00F75B1E" w:rsidRPr="00607548">
        <w:rPr>
          <w:rFonts w:ascii="Arial" w:hAnsi="Arial" w:cs="Arial"/>
          <w:sz w:val="24"/>
          <w:szCs w:val="24"/>
        </w:rPr>
        <w:t>elements</w:t>
      </w:r>
      <w:r w:rsidRPr="00607548">
        <w:rPr>
          <w:rFonts w:ascii="Arial" w:hAnsi="Arial" w:cs="Arial"/>
          <w:sz w:val="24"/>
          <w:szCs w:val="24"/>
        </w:rPr>
        <w:t xml:space="preserve"> </w:t>
      </w:r>
      <w:r w:rsidR="00170A3A" w:rsidRPr="00607548">
        <w:rPr>
          <w:rFonts w:ascii="Arial" w:hAnsi="Arial" w:cs="Arial"/>
          <w:sz w:val="24"/>
          <w:szCs w:val="24"/>
        </w:rPr>
        <w:t xml:space="preserve">necessary </w:t>
      </w:r>
      <w:r w:rsidR="0008232E" w:rsidRPr="00607548">
        <w:rPr>
          <w:rFonts w:ascii="Arial" w:hAnsi="Arial" w:cs="Arial"/>
          <w:sz w:val="24"/>
          <w:szCs w:val="24"/>
        </w:rPr>
        <w:t xml:space="preserve">and specific </w:t>
      </w:r>
      <w:r w:rsidRPr="00607548">
        <w:rPr>
          <w:rFonts w:ascii="Arial" w:hAnsi="Arial" w:cs="Arial"/>
          <w:sz w:val="24"/>
          <w:szCs w:val="24"/>
        </w:rPr>
        <w:t xml:space="preserve">in </w:t>
      </w:r>
      <w:r w:rsidR="00595212" w:rsidRPr="00607548">
        <w:rPr>
          <w:rFonts w:ascii="Arial" w:hAnsi="Arial" w:cs="Arial"/>
          <w:sz w:val="24"/>
          <w:szCs w:val="24"/>
        </w:rPr>
        <w:t xml:space="preserve">that </w:t>
      </w:r>
      <w:r w:rsidRPr="00607548">
        <w:rPr>
          <w:rFonts w:ascii="Arial" w:hAnsi="Arial" w:cs="Arial"/>
          <w:sz w:val="24"/>
          <w:szCs w:val="24"/>
        </w:rPr>
        <w:t>sector</w:t>
      </w:r>
      <w:r w:rsidR="006D6CA7" w:rsidRPr="00607548">
        <w:rPr>
          <w:rFonts w:ascii="Arial" w:hAnsi="Arial" w:cs="Arial"/>
          <w:sz w:val="24"/>
          <w:szCs w:val="24"/>
        </w:rPr>
        <w:t xml:space="preserve"> </w:t>
      </w:r>
      <w:r w:rsidR="00651491" w:rsidRPr="00607548">
        <w:rPr>
          <w:rFonts w:ascii="Arial" w:hAnsi="Arial" w:cs="Arial"/>
          <w:sz w:val="24"/>
          <w:szCs w:val="24"/>
        </w:rPr>
        <w:t xml:space="preserve">including </w:t>
      </w:r>
      <w:r w:rsidR="006D6CA7" w:rsidRPr="00607548">
        <w:rPr>
          <w:rFonts w:ascii="Arial" w:hAnsi="Arial" w:cs="Arial"/>
          <w:sz w:val="24"/>
          <w:szCs w:val="24"/>
        </w:rPr>
        <w:t xml:space="preserve">such </w:t>
      </w:r>
      <w:r w:rsidR="00F07669" w:rsidRPr="00607548">
        <w:rPr>
          <w:rFonts w:ascii="Arial" w:hAnsi="Arial" w:cs="Arial"/>
          <w:sz w:val="24"/>
          <w:szCs w:val="24"/>
        </w:rPr>
        <w:t xml:space="preserve">issues </w:t>
      </w:r>
      <w:r w:rsidR="006D6CA7" w:rsidRPr="00607548">
        <w:rPr>
          <w:rFonts w:ascii="Arial" w:hAnsi="Arial" w:cs="Arial"/>
          <w:sz w:val="24"/>
          <w:szCs w:val="24"/>
        </w:rPr>
        <w:t>relating to</w:t>
      </w:r>
      <w:r w:rsidR="00F07669" w:rsidRPr="00607548">
        <w:rPr>
          <w:rFonts w:ascii="Arial" w:hAnsi="Arial" w:cs="Arial"/>
          <w:sz w:val="24"/>
          <w:szCs w:val="24"/>
        </w:rPr>
        <w:t xml:space="preserve"> </w:t>
      </w:r>
      <w:r w:rsidR="000E1C12" w:rsidRPr="00607548">
        <w:rPr>
          <w:rFonts w:ascii="Arial" w:hAnsi="Arial" w:cs="Arial"/>
          <w:sz w:val="24"/>
          <w:szCs w:val="24"/>
        </w:rPr>
        <w:t>“training facilities”</w:t>
      </w:r>
      <w:r w:rsidRPr="00607548">
        <w:rPr>
          <w:rFonts w:ascii="Arial" w:hAnsi="Arial" w:cs="Arial"/>
          <w:sz w:val="24"/>
          <w:szCs w:val="24"/>
        </w:rPr>
        <w:t>.</w:t>
      </w:r>
    </w:p>
    <w:p w14:paraId="22DE484B" w14:textId="721CD1EB" w:rsidR="00794F86" w:rsidRPr="00F101A0" w:rsidRDefault="00794F86" w:rsidP="00F101A0">
      <w:pPr>
        <w:pStyle w:val="ListParagraph"/>
        <w:numPr>
          <w:ilvl w:val="2"/>
          <w:numId w:val="1"/>
        </w:numPr>
        <w:spacing w:before="240" w:after="0" w:line="312" w:lineRule="auto"/>
        <w:ind w:left="900" w:hanging="900"/>
        <w:jc w:val="both"/>
        <w:rPr>
          <w:rFonts w:ascii="Arial Bold" w:hAnsi="Arial Bold" w:cs="Arial"/>
          <w:b/>
          <w:bCs/>
          <w:caps/>
          <w:sz w:val="24"/>
          <w:szCs w:val="24"/>
        </w:rPr>
      </w:pPr>
      <w:r w:rsidRPr="00F101A0">
        <w:rPr>
          <w:rFonts w:ascii="Arial Bold" w:hAnsi="Arial Bold" w:cs="Arial"/>
          <w:b/>
          <w:bCs/>
          <w:caps/>
          <w:sz w:val="24"/>
          <w:szCs w:val="24"/>
        </w:rPr>
        <w:t>Objective</w:t>
      </w:r>
      <w:r w:rsidR="007F504A" w:rsidRPr="00F101A0">
        <w:rPr>
          <w:rFonts w:ascii="Arial Bold" w:hAnsi="Arial Bold" w:cs="Arial"/>
          <w:b/>
          <w:bCs/>
          <w:caps/>
          <w:sz w:val="24"/>
          <w:szCs w:val="24"/>
        </w:rPr>
        <w:t xml:space="preserve"> [Section 2]</w:t>
      </w:r>
    </w:p>
    <w:p w14:paraId="14C5C561" w14:textId="4378AC07" w:rsidR="00794F86" w:rsidRPr="00F101A0" w:rsidRDefault="00D37466" w:rsidP="00F101A0">
      <w:pPr>
        <w:pStyle w:val="ListParagraph"/>
        <w:numPr>
          <w:ilvl w:val="0"/>
          <w:numId w:val="11"/>
        </w:numPr>
        <w:spacing w:before="240" w:after="0" w:line="312" w:lineRule="auto"/>
        <w:ind w:left="1620" w:hanging="810"/>
        <w:jc w:val="both"/>
        <w:rPr>
          <w:rFonts w:ascii="Arial" w:hAnsi="Arial" w:cs="Arial"/>
          <w:sz w:val="24"/>
          <w:szCs w:val="24"/>
        </w:rPr>
      </w:pPr>
      <w:r w:rsidRPr="00F101A0">
        <w:rPr>
          <w:rFonts w:ascii="Arial" w:hAnsi="Arial" w:cs="Arial"/>
          <w:sz w:val="24"/>
          <w:szCs w:val="24"/>
        </w:rPr>
        <w:t xml:space="preserve">The meeting </w:t>
      </w:r>
      <w:r w:rsidR="000B506F" w:rsidRPr="00F101A0">
        <w:rPr>
          <w:rFonts w:ascii="Arial" w:hAnsi="Arial" w:cs="Arial"/>
          <w:sz w:val="24"/>
          <w:szCs w:val="24"/>
        </w:rPr>
        <w:t xml:space="preserve">observed </w:t>
      </w:r>
      <w:r w:rsidR="002375DD" w:rsidRPr="00F101A0">
        <w:rPr>
          <w:rFonts w:ascii="Arial" w:hAnsi="Arial" w:cs="Arial"/>
          <w:sz w:val="24"/>
          <w:szCs w:val="24"/>
        </w:rPr>
        <w:t xml:space="preserve">that the </w:t>
      </w:r>
      <w:r w:rsidR="000D0174" w:rsidRPr="00F101A0">
        <w:rPr>
          <w:rFonts w:ascii="Arial" w:hAnsi="Arial" w:cs="Arial"/>
          <w:sz w:val="24"/>
          <w:szCs w:val="24"/>
        </w:rPr>
        <w:t>45</w:t>
      </w:r>
      <w:r w:rsidR="000D0174" w:rsidRPr="00F101A0">
        <w:rPr>
          <w:rFonts w:ascii="Arial" w:hAnsi="Arial" w:cs="Arial"/>
          <w:sz w:val="24"/>
          <w:szCs w:val="24"/>
          <w:vertAlign w:val="superscript"/>
        </w:rPr>
        <w:t>th</w:t>
      </w:r>
      <w:r w:rsidR="000D0174" w:rsidRPr="00F101A0">
        <w:rPr>
          <w:rFonts w:ascii="Arial" w:hAnsi="Arial" w:cs="Arial"/>
          <w:sz w:val="24"/>
          <w:szCs w:val="24"/>
        </w:rPr>
        <w:t xml:space="preserve"> TNF-</w:t>
      </w:r>
      <w:r w:rsidR="00DA3D33" w:rsidRPr="00F101A0">
        <w:rPr>
          <w:rFonts w:ascii="Arial" w:hAnsi="Arial" w:cs="Arial"/>
          <w:sz w:val="24"/>
          <w:szCs w:val="24"/>
        </w:rPr>
        <w:t>S</w:t>
      </w:r>
      <w:r w:rsidR="000D0174" w:rsidRPr="00F101A0">
        <w:rPr>
          <w:rFonts w:ascii="Arial" w:hAnsi="Arial" w:cs="Arial"/>
          <w:sz w:val="24"/>
          <w:szCs w:val="24"/>
        </w:rPr>
        <w:t xml:space="preserve">ervices </w:t>
      </w:r>
      <w:r w:rsidR="00DA3D33" w:rsidRPr="00F101A0">
        <w:rPr>
          <w:rFonts w:ascii="Arial" w:hAnsi="Arial" w:cs="Arial"/>
          <w:sz w:val="24"/>
          <w:szCs w:val="24"/>
        </w:rPr>
        <w:t xml:space="preserve">meeting </w:t>
      </w:r>
      <w:r w:rsidR="000D0174" w:rsidRPr="00F101A0">
        <w:rPr>
          <w:rFonts w:ascii="Arial" w:hAnsi="Arial" w:cs="Arial"/>
          <w:sz w:val="24"/>
          <w:szCs w:val="24"/>
        </w:rPr>
        <w:t xml:space="preserve">had </w:t>
      </w:r>
      <w:r w:rsidR="007E341F" w:rsidRPr="00F101A0">
        <w:rPr>
          <w:rFonts w:ascii="Arial" w:hAnsi="Arial" w:cs="Arial"/>
          <w:sz w:val="24"/>
          <w:szCs w:val="24"/>
        </w:rPr>
        <w:t xml:space="preserve">agreed on the need to separate </w:t>
      </w:r>
      <w:r w:rsidR="000B506F" w:rsidRPr="00F101A0">
        <w:rPr>
          <w:rFonts w:ascii="Arial" w:hAnsi="Arial" w:cs="Arial"/>
          <w:sz w:val="24"/>
          <w:szCs w:val="24"/>
        </w:rPr>
        <w:t xml:space="preserve">the objectives </w:t>
      </w:r>
      <w:r w:rsidR="007E341F" w:rsidRPr="00F101A0">
        <w:rPr>
          <w:rFonts w:ascii="Arial" w:hAnsi="Arial" w:cs="Arial"/>
          <w:sz w:val="24"/>
          <w:szCs w:val="24"/>
        </w:rPr>
        <w:t xml:space="preserve">of the draft Guidelines from the objective of the MRAs. In </w:t>
      </w:r>
      <w:r w:rsidR="00177BE4" w:rsidRPr="00F101A0">
        <w:rPr>
          <w:rFonts w:ascii="Arial" w:hAnsi="Arial" w:cs="Arial"/>
          <w:sz w:val="24"/>
          <w:szCs w:val="24"/>
        </w:rPr>
        <w:t xml:space="preserve">addition, the meeting </w:t>
      </w:r>
      <w:r w:rsidR="00C567B1" w:rsidRPr="00F101A0">
        <w:rPr>
          <w:rFonts w:ascii="Arial" w:hAnsi="Arial" w:cs="Arial"/>
          <w:sz w:val="24"/>
          <w:szCs w:val="24"/>
        </w:rPr>
        <w:t>not</w:t>
      </w:r>
      <w:r w:rsidR="00177BE4" w:rsidRPr="00F101A0">
        <w:rPr>
          <w:rFonts w:ascii="Arial" w:hAnsi="Arial" w:cs="Arial"/>
          <w:sz w:val="24"/>
          <w:szCs w:val="24"/>
        </w:rPr>
        <w:t xml:space="preserve">ed that </w:t>
      </w:r>
      <w:r w:rsidR="008E5451" w:rsidRPr="00F101A0">
        <w:rPr>
          <w:rFonts w:ascii="Arial" w:hAnsi="Arial" w:cs="Arial"/>
          <w:sz w:val="24"/>
          <w:szCs w:val="24"/>
        </w:rPr>
        <w:t xml:space="preserve">the </w:t>
      </w:r>
      <w:r w:rsidR="008F1158" w:rsidRPr="00F101A0">
        <w:rPr>
          <w:rFonts w:ascii="Arial" w:hAnsi="Arial" w:cs="Arial"/>
          <w:sz w:val="24"/>
          <w:szCs w:val="24"/>
        </w:rPr>
        <w:t>paragraph</w:t>
      </w:r>
      <w:r w:rsidR="00C567B1" w:rsidRPr="00F101A0">
        <w:rPr>
          <w:rFonts w:ascii="Arial" w:hAnsi="Arial" w:cs="Arial"/>
          <w:sz w:val="24"/>
          <w:szCs w:val="24"/>
        </w:rPr>
        <w:t xml:space="preserve"> </w:t>
      </w:r>
      <w:r w:rsidR="00E93B9D" w:rsidRPr="00F101A0">
        <w:rPr>
          <w:rFonts w:ascii="Arial" w:hAnsi="Arial" w:cs="Arial"/>
          <w:sz w:val="24"/>
          <w:szCs w:val="24"/>
        </w:rPr>
        <w:t>provide</w:t>
      </w:r>
      <w:r w:rsidR="00FD2B35" w:rsidRPr="00F101A0">
        <w:rPr>
          <w:rFonts w:ascii="Arial" w:hAnsi="Arial" w:cs="Arial"/>
          <w:sz w:val="24"/>
          <w:szCs w:val="24"/>
        </w:rPr>
        <w:t>d</w:t>
      </w:r>
      <w:r w:rsidR="000B506F" w:rsidRPr="00F101A0">
        <w:rPr>
          <w:rFonts w:ascii="Arial" w:hAnsi="Arial" w:cs="Arial"/>
          <w:sz w:val="24"/>
          <w:szCs w:val="24"/>
        </w:rPr>
        <w:t xml:space="preserve"> </w:t>
      </w:r>
      <w:r w:rsidR="00160EC5" w:rsidRPr="00F101A0">
        <w:rPr>
          <w:rFonts w:ascii="Arial" w:hAnsi="Arial" w:cs="Arial"/>
          <w:sz w:val="24"/>
          <w:szCs w:val="24"/>
        </w:rPr>
        <w:t>for a</w:t>
      </w:r>
      <w:r w:rsidR="00160EC5" w:rsidRPr="00F101A0">
        <w:rPr>
          <w:rFonts w:ascii="Arial" w:hAnsi="Arial" w:cs="Arial"/>
          <w:i/>
          <w:iCs/>
          <w:sz w:val="24"/>
          <w:szCs w:val="24"/>
        </w:rPr>
        <w:t xml:space="preserve"> </w:t>
      </w:r>
      <w:r w:rsidR="00DA3D33" w:rsidRPr="00F101A0">
        <w:rPr>
          <w:rFonts w:ascii="Arial" w:hAnsi="Arial" w:cs="Arial"/>
          <w:i/>
          <w:iCs/>
          <w:sz w:val="24"/>
          <w:szCs w:val="24"/>
        </w:rPr>
        <w:t>“</w:t>
      </w:r>
      <w:r w:rsidR="00160EC5" w:rsidRPr="00F101A0">
        <w:rPr>
          <w:rFonts w:ascii="Arial" w:hAnsi="Arial" w:cs="Arial"/>
          <w:i/>
          <w:iCs/>
          <w:sz w:val="24"/>
          <w:szCs w:val="24"/>
        </w:rPr>
        <w:t>common approach</w:t>
      </w:r>
      <w:r w:rsidR="00160EC5" w:rsidRPr="00F101A0">
        <w:rPr>
          <w:rFonts w:ascii="Arial" w:hAnsi="Arial" w:cs="Arial"/>
          <w:sz w:val="24"/>
          <w:szCs w:val="24"/>
        </w:rPr>
        <w:t>”</w:t>
      </w:r>
      <w:r w:rsidR="00E93B9D" w:rsidRPr="00F101A0">
        <w:rPr>
          <w:rFonts w:ascii="Arial" w:hAnsi="Arial" w:cs="Arial"/>
          <w:sz w:val="24"/>
          <w:szCs w:val="24"/>
        </w:rPr>
        <w:t xml:space="preserve"> and </w:t>
      </w:r>
      <w:r w:rsidR="008262BF" w:rsidRPr="00F101A0">
        <w:rPr>
          <w:rFonts w:ascii="Arial" w:hAnsi="Arial" w:cs="Arial"/>
          <w:sz w:val="24"/>
          <w:szCs w:val="24"/>
        </w:rPr>
        <w:t>“</w:t>
      </w:r>
      <w:r w:rsidR="00E93B9D" w:rsidRPr="00F101A0">
        <w:rPr>
          <w:rFonts w:ascii="Arial" w:hAnsi="Arial" w:cs="Arial"/>
          <w:i/>
          <w:iCs/>
          <w:sz w:val="24"/>
          <w:szCs w:val="24"/>
        </w:rPr>
        <w:t xml:space="preserve">minimum </w:t>
      </w:r>
      <w:r w:rsidR="00421D94" w:rsidRPr="00F101A0">
        <w:rPr>
          <w:rFonts w:ascii="Arial" w:hAnsi="Arial" w:cs="Arial"/>
          <w:i/>
          <w:iCs/>
          <w:sz w:val="24"/>
          <w:szCs w:val="24"/>
        </w:rPr>
        <w:t xml:space="preserve">content and </w:t>
      </w:r>
      <w:r w:rsidR="00E93B9D" w:rsidRPr="00F101A0">
        <w:rPr>
          <w:rFonts w:ascii="Arial" w:hAnsi="Arial" w:cs="Arial"/>
          <w:i/>
          <w:iCs/>
          <w:sz w:val="24"/>
          <w:szCs w:val="24"/>
        </w:rPr>
        <w:t>standards</w:t>
      </w:r>
      <w:r w:rsidR="00C00A39" w:rsidRPr="00F101A0">
        <w:rPr>
          <w:rFonts w:ascii="Arial" w:hAnsi="Arial" w:cs="Arial"/>
          <w:i/>
          <w:iCs/>
          <w:sz w:val="24"/>
          <w:szCs w:val="24"/>
        </w:rPr>
        <w:t>”</w:t>
      </w:r>
      <w:r w:rsidR="00E93B9D" w:rsidRPr="00F101A0">
        <w:rPr>
          <w:rFonts w:ascii="Arial" w:hAnsi="Arial" w:cs="Arial"/>
          <w:i/>
          <w:iCs/>
          <w:sz w:val="24"/>
          <w:szCs w:val="24"/>
        </w:rPr>
        <w:t xml:space="preserve"> </w:t>
      </w:r>
      <w:r w:rsidR="00E93B9D" w:rsidRPr="00F101A0">
        <w:rPr>
          <w:rFonts w:ascii="Arial" w:hAnsi="Arial" w:cs="Arial"/>
          <w:sz w:val="24"/>
          <w:szCs w:val="24"/>
        </w:rPr>
        <w:t xml:space="preserve">for </w:t>
      </w:r>
      <w:r w:rsidR="00D061AB" w:rsidRPr="00F101A0">
        <w:rPr>
          <w:rFonts w:ascii="Arial" w:hAnsi="Arial" w:cs="Arial"/>
          <w:sz w:val="24"/>
          <w:szCs w:val="24"/>
        </w:rPr>
        <w:t>the structures of MRAs</w:t>
      </w:r>
      <w:r w:rsidR="00213D80" w:rsidRPr="00F101A0">
        <w:rPr>
          <w:rFonts w:ascii="Arial" w:hAnsi="Arial" w:cs="Arial"/>
          <w:sz w:val="24"/>
          <w:szCs w:val="24"/>
        </w:rPr>
        <w:t xml:space="preserve">. It was suggested </w:t>
      </w:r>
      <w:r w:rsidR="00421D94" w:rsidRPr="00F101A0">
        <w:rPr>
          <w:rFonts w:ascii="Arial" w:hAnsi="Arial" w:cs="Arial"/>
          <w:sz w:val="24"/>
          <w:szCs w:val="24"/>
        </w:rPr>
        <w:t>the</w:t>
      </w:r>
      <w:r w:rsidR="00F25E86" w:rsidRPr="00F101A0">
        <w:rPr>
          <w:rFonts w:ascii="Arial" w:hAnsi="Arial" w:cs="Arial"/>
          <w:sz w:val="24"/>
          <w:szCs w:val="24"/>
        </w:rPr>
        <w:t xml:space="preserve"> “elements” </w:t>
      </w:r>
      <w:r w:rsidR="00BB593A" w:rsidRPr="00F101A0">
        <w:rPr>
          <w:rFonts w:ascii="Arial" w:hAnsi="Arial" w:cs="Arial"/>
          <w:sz w:val="24"/>
          <w:szCs w:val="24"/>
        </w:rPr>
        <w:t xml:space="preserve">to be considered in developing the sectoral MRAs </w:t>
      </w:r>
      <w:r w:rsidR="009C6F32" w:rsidRPr="00F101A0">
        <w:rPr>
          <w:rFonts w:ascii="Arial" w:hAnsi="Arial" w:cs="Arial"/>
          <w:sz w:val="24"/>
          <w:szCs w:val="24"/>
        </w:rPr>
        <w:t xml:space="preserve">would be the same, </w:t>
      </w:r>
      <w:r w:rsidR="00DA3D33" w:rsidRPr="00F101A0">
        <w:rPr>
          <w:rFonts w:ascii="Arial" w:hAnsi="Arial" w:cs="Arial"/>
          <w:sz w:val="24"/>
          <w:szCs w:val="24"/>
        </w:rPr>
        <w:t>although</w:t>
      </w:r>
      <w:r w:rsidR="00BB593A" w:rsidRPr="00F101A0">
        <w:rPr>
          <w:rFonts w:ascii="Arial" w:hAnsi="Arial" w:cs="Arial"/>
          <w:sz w:val="24"/>
          <w:szCs w:val="24"/>
        </w:rPr>
        <w:t xml:space="preserve"> the</w:t>
      </w:r>
      <w:r w:rsidR="009C6F32" w:rsidRPr="00F101A0">
        <w:rPr>
          <w:rFonts w:ascii="Arial" w:hAnsi="Arial" w:cs="Arial"/>
          <w:sz w:val="24"/>
          <w:szCs w:val="24"/>
        </w:rPr>
        <w:t xml:space="preserve"> actual</w:t>
      </w:r>
      <w:r w:rsidR="00BB593A" w:rsidRPr="00F101A0">
        <w:rPr>
          <w:rFonts w:ascii="Arial" w:hAnsi="Arial" w:cs="Arial"/>
          <w:sz w:val="24"/>
          <w:szCs w:val="24"/>
        </w:rPr>
        <w:t xml:space="preserve"> content</w:t>
      </w:r>
      <w:r w:rsidR="009C6F32" w:rsidRPr="00F101A0">
        <w:rPr>
          <w:rFonts w:ascii="Arial" w:hAnsi="Arial" w:cs="Arial"/>
          <w:sz w:val="24"/>
          <w:szCs w:val="24"/>
        </w:rPr>
        <w:t xml:space="preserve"> an</w:t>
      </w:r>
      <w:r w:rsidR="00F339E0" w:rsidRPr="00F101A0">
        <w:rPr>
          <w:rFonts w:ascii="Arial" w:hAnsi="Arial" w:cs="Arial"/>
          <w:sz w:val="24"/>
          <w:szCs w:val="24"/>
        </w:rPr>
        <w:t>d</w:t>
      </w:r>
      <w:r w:rsidR="009C6F32" w:rsidRPr="00F101A0">
        <w:rPr>
          <w:rFonts w:ascii="Arial" w:hAnsi="Arial" w:cs="Arial"/>
          <w:sz w:val="24"/>
          <w:szCs w:val="24"/>
        </w:rPr>
        <w:t xml:space="preserve"> </w:t>
      </w:r>
      <w:r w:rsidR="00F339E0" w:rsidRPr="00F101A0">
        <w:rPr>
          <w:rFonts w:ascii="Arial" w:hAnsi="Arial" w:cs="Arial"/>
          <w:sz w:val="24"/>
          <w:szCs w:val="24"/>
        </w:rPr>
        <w:t xml:space="preserve">standards may </w:t>
      </w:r>
      <w:r w:rsidR="009C6F32" w:rsidRPr="00F101A0">
        <w:rPr>
          <w:rFonts w:ascii="Arial" w:hAnsi="Arial" w:cs="Arial"/>
          <w:sz w:val="24"/>
          <w:szCs w:val="24"/>
        </w:rPr>
        <w:t xml:space="preserve">differ across </w:t>
      </w:r>
      <w:r w:rsidR="00F339E0" w:rsidRPr="00F101A0">
        <w:rPr>
          <w:rFonts w:ascii="Arial" w:hAnsi="Arial" w:cs="Arial"/>
          <w:sz w:val="24"/>
          <w:szCs w:val="24"/>
        </w:rPr>
        <w:t xml:space="preserve">professions. Hence, there was need </w:t>
      </w:r>
      <w:r w:rsidR="00F25E86" w:rsidRPr="00F101A0">
        <w:rPr>
          <w:rFonts w:ascii="Arial" w:hAnsi="Arial" w:cs="Arial"/>
          <w:sz w:val="24"/>
          <w:szCs w:val="24"/>
        </w:rPr>
        <w:t xml:space="preserve">to </w:t>
      </w:r>
      <w:r w:rsidR="00F72ADC" w:rsidRPr="00F101A0">
        <w:rPr>
          <w:rFonts w:ascii="Arial" w:hAnsi="Arial" w:cs="Arial"/>
          <w:sz w:val="24"/>
          <w:szCs w:val="24"/>
        </w:rPr>
        <w:t xml:space="preserve">consider </w:t>
      </w:r>
      <w:r w:rsidR="00AF1B5D" w:rsidRPr="00F101A0">
        <w:rPr>
          <w:rFonts w:ascii="Arial" w:hAnsi="Arial" w:cs="Arial"/>
          <w:sz w:val="24"/>
          <w:szCs w:val="24"/>
        </w:rPr>
        <w:t xml:space="preserve">replacing </w:t>
      </w:r>
      <w:r w:rsidR="00F72ADC" w:rsidRPr="00F101A0">
        <w:rPr>
          <w:rFonts w:ascii="Arial" w:hAnsi="Arial" w:cs="Arial"/>
          <w:sz w:val="24"/>
          <w:szCs w:val="24"/>
        </w:rPr>
        <w:t xml:space="preserve">the words </w:t>
      </w:r>
      <w:r w:rsidR="00AF1B5D" w:rsidRPr="00F101A0">
        <w:rPr>
          <w:rFonts w:ascii="Arial" w:hAnsi="Arial" w:cs="Arial"/>
          <w:sz w:val="24"/>
          <w:szCs w:val="24"/>
        </w:rPr>
        <w:t>“</w:t>
      </w:r>
      <w:r w:rsidR="00FE29F4" w:rsidRPr="00F101A0">
        <w:rPr>
          <w:rFonts w:ascii="Arial" w:hAnsi="Arial" w:cs="Arial"/>
          <w:i/>
          <w:iCs/>
          <w:sz w:val="24"/>
          <w:szCs w:val="24"/>
        </w:rPr>
        <w:t>minimum</w:t>
      </w:r>
      <w:r w:rsidR="00F72ADC" w:rsidRPr="00F101A0">
        <w:rPr>
          <w:rFonts w:ascii="Arial" w:hAnsi="Arial" w:cs="Arial"/>
          <w:i/>
          <w:iCs/>
          <w:sz w:val="24"/>
          <w:szCs w:val="24"/>
        </w:rPr>
        <w:t xml:space="preserve"> content and</w:t>
      </w:r>
      <w:r w:rsidR="00FE29F4" w:rsidRPr="00F101A0">
        <w:rPr>
          <w:rFonts w:ascii="Arial" w:hAnsi="Arial" w:cs="Arial"/>
          <w:sz w:val="24"/>
          <w:szCs w:val="24"/>
        </w:rPr>
        <w:t xml:space="preserve"> </w:t>
      </w:r>
      <w:r w:rsidR="00AF1B5D" w:rsidRPr="00F101A0">
        <w:rPr>
          <w:rFonts w:ascii="Arial" w:hAnsi="Arial" w:cs="Arial"/>
          <w:i/>
          <w:iCs/>
          <w:sz w:val="24"/>
          <w:szCs w:val="24"/>
        </w:rPr>
        <w:t>standards</w:t>
      </w:r>
      <w:r w:rsidR="00AF1B5D" w:rsidRPr="00F101A0">
        <w:rPr>
          <w:rFonts w:ascii="Arial" w:hAnsi="Arial" w:cs="Arial"/>
          <w:sz w:val="24"/>
          <w:szCs w:val="24"/>
        </w:rPr>
        <w:t>” with “</w:t>
      </w:r>
      <w:r w:rsidR="00F72ADC" w:rsidRPr="00F101A0">
        <w:rPr>
          <w:rFonts w:ascii="Arial" w:hAnsi="Arial" w:cs="Arial"/>
          <w:i/>
          <w:iCs/>
          <w:sz w:val="24"/>
          <w:szCs w:val="24"/>
        </w:rPr>
        <w:t>minimum</w:t>
      </w:r>
      <w:r w:rsidR="00F72ADC" w:rsidRPr="00F101A0">
        <w:rPr>
          <w:rFonts w:ascii="Arial" w:hAnsi="Arial" w:cs="Arial"/>
          <w:sz w:val="24"/>
          <w:szCs w:val="24"/>
        </w:rPr>
        <w:t xml:space="preserve"> </w:t>
      </w:r>
      <w:r w:rsidR="00AF1B5D" w:rsidRPr="00F101A0">
        <w:rPr>
          <w:rFonts w:ascii="Arial" w:hAnsi="Arial" w:cs="Arial"/>
          <w:i/>
          <w:iCs/>
          <w:sz w:val="24"/>
          <w:szCs w:val="24"/>
        </w:rPr>
        <w:t>elements and features</w:t>
      </w:r>
      <w:r w:rsidR="00AF1B5D" w:rsidRPr="00F101A0">
        <w:rPr>
          <w:rFonts w:ascii="Arial" w:hAnsi="Arial" w:cs="Arial"/>
          <w:sz w:val="24"/>
          <w:szCs w:val="24"/>
        </w:rPr>
        <w:t>.”</w:t>
      </w:r>
    </w:p>
    <w:p w14:paraId="73678997" w14:textId="77777777" w:rsidR="00794F86" w:rsidRPr="00F101A0" w:rsidRDefault="00794F86" w:rsidP="000953A4">
      <w:pPr>
        <w:spacing w:after="0" w:line="312" w:lineRule="auto"/>
        <w:ind w:left="851"/>
        <w:jc w:val="both"/>
        <w:rPr>
          <w:rFonts w:ascii="Arial" w:hAnsi="Arial" w:cs="Arial"/>
          <w:sz w:val="24"/>
          <w:szCs w:val="24"/>
        </w:rPr>
      </w:pPr>
    </w:p>
    <w:p w14:paraId="780B4188" w14:textId="178018E8" w:rsidR="001F3BD7" w:rsidRPr="00F101A0" w:rsidRDefault="000B0C78" w:rsidP="00F101A0">
      <w:pPr>
        <w:pStyle w:val="ListParagraph"/>
        <w:numPr>
          <w:ilvl w:val="0"/>
          <w:numId w:val="12"/>
        </w:numPr>
        <w:shd w:val="clear" w:color="auto" w:fill="D9D9D9" w:themeFill="background1" w:themeFillShade="D9"/>
        <w:tabs>
          <w:tab w:val="left" w:pos="1620"/>
        </w:tabs>
        <w:spacing w:after="0" w:line="312" w:lineRule="auto"/>
        <w:ind w:left="1800" w:hanging="990"/>
        <w:jc w:val="both"/>
        <w:rPr>
          <w:rFonts w:ascii="Arial" w:hAnsi="Arial" w:cs="Arial"/>
          <w:sz w:val="24"/>
          <w:szCs w:val="24"/>
          <w:u w:val="single"/>
        </w:rPr>
      </w:pPr>
      <w:r w:rsidRPr="00F101A0">
        <w:rPr>
          <w:rFonts w:ascii="Arial" w:hAnsi="Arial" w:cs="Arial"/>
          <w:sz w:val="24"/>
          <w:szCs w:val="24"/>
          <w:u w:val="single"/>
        </w:rPr>
        <w:t>Conclusion 4</w:t>
      </w:r>
      <w:r w:rsidR="000A40BC" w:rsidRPr="00F101A0">
        <w:rPr>
          <w:rFonts w:ascii="Arial" w:hAnsi="Arial" w:cs="Arial"/>
          <w:sz w:val="24"/>
          <w:szCs w:val="24"/>
          <w:u w:val="single"/>
        </w:rPr>
        <w:t>:</w:t>
      </w:r>
      <w:r w:rsidR="00AF1B5D" w:rsidRPr="00F101A0">
        <w:rPr>
          <w:rFonts w:ascii="Arial" w:hAnsi="Arial" w:cs="Arial"/>
          <w:sz w:val="24"/>
          <w:szCs w:val="24"/>
          <w:u w:val="single"/>
        </w:rPr>
        <w:t xml:space="preserve"> </w:t>
      </w:r>
      <w:r w:rsidR="001F3BD7" w:rsidRPr="00F101A0">
        <w:rPr>
          <w:rFonts w:ascii="Arial" w:hAnsi="Arial" w:cs="Arial"/>
          <w:sz w:val="24"/>
          <w:szCs w:val="24"/>
          <w:u w:val="single"/>
        </w:rPr>
        <w:t>Objective [Section 2]</w:t>
      </w:r>
    </w:p>
    <w:p w14:paraId="085D3981" w14:textId="78FEB373" w:rsidR="00794F86" w:rsidRPr="00F101A0" w:rsidRDefault="00DA256F" w:rsidP="00F101A0">
      <w:pPr>
        <w:shd w:val="clear" w:color="auto" w:fill="D9D9D9" w:themeFill="background1" w:themeFillShade="D9"/>
        <w:tabs>
          <w:tab w:val="left" w:pos="1620"/>
        </w:tabs>
        <w:spacing w:before="240" w:after="0" w:line="312" w:lineRule="auto"/>
        <w:ind w:left="1620"/>
        <w:jc w:val="both"/>
        <w:rPr>
          <w:rFonts w:ascii="Arial" w:hAnsi="Arial" w:cs="Arial"/>
          <w:sz w:val="24"/>
          <w:szCs w:val="24"/>
        </w:rPr>
      </w:pPr>
      <w:r>
        <w:rPr>
          <w:rFonts w:ascii="Arial" w:hAnsi="Arial" w:cs="Arial"/>
          <w:sz w:val="24"/>
          <w:szCs w:val="24"/>
        </w:rPr>
        <w:t>Replace the</w:t>
      </w:r>
      <w:r w:rsidR="008F1C01" w:rsidRPr="00F101A0">
        <w:rPr>
          <w:rFonts w:ascii="Arial" w:hAnsi="Arial" w:cs="Arial"/>
          <w:sz w:val="24"/>
          <w:szCs w:val="24"/>
        </w:rPr>
        <w:t xml:space="preserve"> words</w:t>
      </w:r>
      <w:r w:rsidR="008831F9" w:rsidRPr="00F101A0">
        <w:rPr>
          <w:rFonts w:ascii="Arial" w:hAnsi="Arial" w:cs="Arial"/>
          <w:sz w:val="24"/>
          <w:szCs w:val="24"/>
        </w:rPr>
        <w:t xml:space="preserve"> “</w:t>
      </w:r>
      <w:r w:rsidR="00FE29F4" w:rsidRPr="00F101A0">
        <w:rPr>
          <w:rFonts w:ascii="Arial" w:hAnsi="Arial" w:cs="Arial"/>
          <w:i/>
          <w:iCs/>
          <w:sz w:val="24"/>
          <w:szCs w:val="24"/>
        </w:rPr>
        <w:t>minimum</w:t>
      </w:r>
      <w:r w:rsidR="00FE29F4" w:rsidRPr="00F101A0">
        <w:rPr>
          <w:rFonts w:ascii="Arial" w:hAnsi="Arial" w:cs="Arial"/>
          <w:sz w:val="24"/>
          <w:szCs w:val="24"/>
        </w:rPr>
        <w:t xml:space="preserve"> </w:t>
      </w:r>
      <w:r w:rsidR="00585AAE" w:rsidRPr="00F101A0">
        <w:rPr>
          <w:rFonts w:ascii="Arial" w:hAnsi="Arial" w:cs="Arial"/>
          <w:i/>
          <w:iCs/>
          <w:sz w:val="24"/>
          <w:szCs w:val="24"/>
        </w:rPr>
        <w:t xml:space="preserve">content and </w:t>
      </w:r>
      <w:r w:rsidR="008831F9" w:rsidRPr="00F101A0">
        <w:rPr>
          <w:rFonts w:ascii="Arial" w:hAnsi="Arial" w:cs="Arial"/>
          <w:i/>
          <w:iCs/>
          <w:sz w:val="24"/>
          <w:szCs w:val="24"/>
        </w:rPr>
        <w:t>standards</w:t>
      </w:r>
      <w:r w:rsidR="008831F9" w:rsidRPr="00F101A0">
        <w:rPr>
          <w:rFonts w:ascii="Arial" w:hAnsi="Arial" w:cs="Arial"/>
          <w:sz w:val="24"/>
          <w:szCs w:val="24"/>
        </w:rPr>
        <w:t>”</w:t>
      </w:r>
      <w:r w:rsidR="002F1FD2" w:rsidRPr="00F101A0">
        <w:rPr>
          <w:rFonts w:ascii="Arial" w:hAnsi="Arial" w:cs="Arial"/>
          <w:sz w:val="24"/>
          <w:szCs w:val="24"/>
        </w:rPr>
        <w:t xml:space="preserve"> </w:t>
      </w:r>
      <w:r w:rsidR="00585AAE" w:rsidRPr="00F101A0">
        <w:rPr>
          <w:rFonts w:ascii="Arial" w:hAnsi="Arial" w:cs="Arial"/>
          <w:sz w:val="24"/>
          <w:szCs w:val="24"/>
        </w:rPr>
        <w:t xml:space="preserve">in </w:t>
      </w:r>
      <w:r w:rsidR="004E50F7" w:rsidRPr="00F101A0">
        <w:rPr>
          <w:rFonts w:ascii="Arial" w:hAnsi="Arial" w:cs="Arial"/>
          <w:sz w:val="24"/>
          <w:szCs w:val="24"/>
        </w:rPr>
        <w:t>paragraph 2.1</w:t>
      </w:r>
      <w:r w:rsidR="004E50F7" w:rsidRPr="00F101A0" w:rsidDel="008F1C01">
        <w:rPr>
          <w:rFonts w:ascii="Arial" w:hAnsi="Arial" w:cs="Arial"/>
          <w:sz w:val="24"/>
          <w:szCs w:val="24"/>
        </w:rPr>
        <w:t xml:space="preserve"> </w:t>
      </w:r>
      <w:r w:rsidR="002F1FD2" w:rsidRPr="00F101A0">
        <w:rPr>
          <w:rFonts w:ascii="Arial" w:hAnsi="Arial" w:cs="Arial"/>
          <w:sz w:val="24"/>
          <w:szCs w:val="24"/>
        </w:rPr>
        <w:t xml:space="preserve">with </w:t>
      </w:r>
      <w:r w:rsidR="002F1FD2" w:rsidRPr="00F101A0">
        <w:rPr>
          <w:rFonts w:ascii="Arial" w:hAnsi="Arial" w:cs="Arial"/>
          <w:i/>
          <w:iCs/>
          <w:sz w:val="24"/>
          <w:szCs w:val="24"/>
        </w:rPr>
        <w:t>“</w:t>
      </w:r>
      <w:r w:rsidR="00F5603F" w:rsidRPr="00F101A0">
        <w:rPr>
          <w:rFonts w:ascii="Arial" w:hAnsi="Arial" w:cs="Arial"/>
          <w:i/>
          <w:iCs/>
          <w:sz w:val="24"/>
          <w:szCs w:val="24"/>
        </w:rPr>
        <w:t>minimum</w:t>
      </w:r>
      <w:r w:rsidR="00F5603F" w:rsidRPr="00F101A0">
        <w:rPr>
          <w:rFonts w:ascii="Arial" w:hAnsi="Arial" w:cs="Arial"/>
          <w:sz w:val="24"/>
          <w:szCs w:val="24"/>
        </w:rPr>
        <w:t xml:space="preserve"> </w:t>
      </w:r>
      <w:r w:rsidR="002F1FD2" w:rsidRPr="00F101A0">
        <w:rPr>
          <w:rFonts w:ascii="Arial" w:hAnsi="Arial" w:cs="Arial"/>
          <w:i/>
          <w:iCs/>
          <w:sz w:val="24"/>
          <w:szCs w:val="24"/>
        </w:rPr>
        <w:t>elements</w:t>
      </w:r>
      <w:r w:rsidR="00585AAE" w:rsidRPr="00F101A0">
        <w:rPr>
          <w:rFonts w:ascii="Arial" w:hAnsi="Arial" w:cs="Arial"/>
          <w:i/>
          <w:iCs/>
          <w:sz w:val="24"/>
          <w:szCs w:val="24"/>
        </w:rPr>
        <w:t xml:space="preserve"> and features</w:t>
      </w:r>
      <w:r w:rsidR="004E50F7" w:rsidRPr="00F101A0">
        <w:rPr>
          <w:rFonts w:ascii="Arial" w:hAnsi="Arial" w:cs="Arial"/>
          <w:i/>
          <w:iCs/>
          <w:sz w:val="24"/>
          <w:szCs w:val="24"/>
        </w:rPr>
        <w:t>”</w:t>
      </w:r>
      <w:r w:rsidR="001A3A90" w:rsidRPr="00F101A0">
        <w:rPr>
          <w:rFonts w:ascii="Arial" w:hAnsi="Arial" w:cs="Arial"/>
          <w:sz w:val="24"/>
          <w:szCs w:val="24"/>
        </w:rPr>
        <w:t>.</w:t>
      </w:r>
    </w:p>
    <w:p w14:paraId="658D9033" w14:textId="77777777" w:rsidR="00075AC5" w:rsidRPr="00F101A0" w:rsidRDefault="00075AC5" w:rsidP="000953A4">
      <w:pPr>
        <w:spacing w:after="0" w:line="312" w:lineRule="auto"/>
        <w:ind w:left="851"/>
        <w:jc w:val="both"/>
        <w:rPr>
          <w:rFonts w:ascii="Arial" w:hAnsi="Arial" w:cs="Arial"/>
          <w:sz w:val="24"/>
          <w:szCs w:val="24"/>
        </w:rPr>
      </w:pPr>
    </w:p>
    <w:p w14:paraId="2C9133FE" w14:textId="4A1F5173" w:rsidR="00075AC5" w:rsidRPr="00F101A0" w:rsidRDefault="00A73AA5" w:rsidP="00F101A0">
      <w:pPr>
        <w:pStyle w:val="ListParagraph"/>
        <w:numPr>
          <w:ilvl w:val="2"/>
          <w:numId w:val="1"/>
        </w:numPr>
        <w:spacing w:after="0" w:line="312" w:lineRule="auto"/>
        <w:ind w:left="900" w:hanging="900"/>
        <w:jc w:val="both"/>
        <w:rPr>
          <w:rFonts w:ascii="Arial Bold" w:hAnsi="Arial Bold" w:cs="Arial"/>
          <w:b/>
          <w:bCs/>
          <w:caps/>
          <w:sz w:val="24"/>
          <w:szCs w:val="24"/>
        </w:rPr>
      </w:pPr>
      <w:r w:rsidRPr="00F101A0">
        <w:rPr>
          <w:rFonts w:ascii="Arial Bold" w:hAnsi="Arial Bold" w:cs="Arial"/>
          <w:b/>
          <w:bCs/>
          <w:caps/>
          <w:sz w:val="24"/>
          <w:szCs w:val="24"/>
        </w:rPr>
        <w:t>Negotiating Approach</w:t>
      </w:r>
      <w:r w:rsidR="007F504A" w:rsidRPr="00F101A0">
        <w:rPr>
          <w:rFonts w:ascii="Arial Bold" w:hAnsi="Arial Bold" w:cs="Arial"/>
          <w:b/>
          <w:bCs/>
          <w:caps/>
          <w:sz w:val="24"/>
          <w:szCs w:val="24"/>
        </w:rPr>
        <w:t xml:space="preserve"> [Section 3]</w:t>
      </w:r>
    </w:p>
    <w:p w14:paraId="2A849700" w14:textId="60997EBC" w:rsidR="00C41703" w:rsidRPr="00F101A0" w:rsidRDefault="00EF520C" w:rsidP="00F101A0">
      <w:pPr>
        <w:pStyle w:val="ListParagraph"/>
        <w:numPr>
          <w:ilvl w:val="0"/>
          <w:numId w:val="14"/>
        </w:numPr>
        <w:spacing w:before="240" w:after="0" w:line="312" w:lineRule="auto"/>
        <w:ind w:left="1710" w:hanging="859"/>
        <w:jc w:val="both"/>
        <w:rPr>
          <w:rFonts w:ascii="Arial" w:hAnsi="Arial" w:cs="Arial"/>
          <w:b/>
          <w:bCs/>
          <w:sz w:val="24"/>
          <w:szCs w:val="24"/>
        </w:rPr>
      </w:pPr>
      <w:r w:rsidRPr="00F101A0">
        <w:rPr>
          <w:rFonts w:ascii="Arial" w:hAnsi="Arial" w:cs="Arial"/>
          <w:b/>
          <w:bCs/>
          <w:sz w:val="24"/>
          <w:szCs w:val="24"/>
        </w:rPr>
        <w:t xml:space="preserve">Paragraph 3.1 on </w:t>
      </w:r>
      <w:r w:rsidR="001230D4" w:rsidRPr="00F101A0">
        <w:rPr>
          <w:rFonts w:ascii="Arial" w:hAnsi="Arial" w:cs="Arial"/>
          <w:b/>
          <w:bCs/>
          <w:sz w:val="24"/>
          <w:szCs w:val="24"/>
        </w:rPr>
        <w:t>“</w:t>
      </w:r>
      <w:r w:rsidR="001230D4" w:rsidRPr="00F101A0">
        <w:rPr>
          <w:rFonts w:ascii="Arial" w:hAnsi="Arial" w:cs="Arial"/>
          <w:b/>
          <w:bCs/>
          <w:i/>
          <w:iCs/>
          <w:sz w:val="24"/>
          <w:szCs w:val="24"/>
        </w:rPr>
        <w:t xml:space="preserve">develop sectoral/professional-specific </w:t>
      </w:r>
      <w:r w:rsidR="004E50F7" w:rsidRPr="00F101A0">
        <w:rPr>
          <w:rFonts w:ascii="Arial" w:hAnsi="Arial" w:cs="Arial"/>
          <w:b/>
          <w:bCs/>
          <w:i/>
          <w:iCs/>
          <w:sz w:val="24"/>
          <w:szCs w:val="24"/>
        </w:rPr>
        <w:t>MRAs</w:t>
      </w:r>
      <w:r w:rsidR="004E50F7" w:rsidRPr="00F101A0">
        <w:rPr>
          <w:rFonts w:ascii="Arial" w:hAnsi="Arial" w:cs="Arial"/>
          <w:b/>
          <w:bCs/>
          <w:sz w:val="24"/>
          <w:szCs w:val="24"/>
        </w:rPr>
        <w:t>”.</w:t>
      </w:r>
    </w:p>
    <w:p w14:paraId="13E1F8C4" w14:textId="6A673A28" w:rsidR="002764E5" w:rsidRPr="00F101A0" w:rsidRDefault="001230D4" w:rsidP="00F101A0">
      <w:pPr>
        <w:spacing w:before="240" w:after="0" w:line="312" w:lineRule="auto"/>
        <w:ind w:left="1710"/>
        <w:jc w:val="both"/>
        <w:rPr>
          <w:rFonts w:ascii="Arial" w:hAnsi="Arial" w:cs="Arial"/>
          <w:sz w:val="24"/>
          <w:szCs w:val="24"/>
        </w:rPr>
      </w:pPr>
      <w:r w:rsidRPr="00F101A0">
        <w:rPr>
          <w:rFonts w:ascii="Arial" w:hAnsi="Arial" w:cs="Arial"/>
          <w:sz w:val="24"/>
          <w:szCs w:val="24"/>
        </w:rPr>
        <w:t xml:space="preserve">Member States </w:t>
      </w:r>
      <w:r w:rsidR="0076400C" w:rsidRPr="00F101A0">
        <w:rPr>
          <w:rFonts w:ascii="Arial" w:hAnsi="Arial" w:cs="Arial"/>
          <w:sz w:val="24"/>
          <w:szCs w:val="24"/>
        </w:rPr>
        <w:t xml:space="preserve">sought clarifications on what </w:t>
      </w:r>
      <w:r w:rsidR="00FA7A97" w:rsidRPr="00F101A0">
        <w:rPr>
          <w:rFonts w:ascii="Arial" w:hAnsi="Arial" w:cs="Arial"/>
          <w:sz w:val="24"/>
          <w:szCs w:val="24"/>
        </w:rPr>
        <w:t>constituted</w:t>
      </w:r>
      <w:r w:rsidR="00D45570" w:rsidRPr="00F101A0">
        <w:rPr>
          <w:rFonts w:ascii="Arial" w:hAnsi="Arial" w:cs="Arial"/>
          <w:sz w:val="24"/>
          <w:szCs w:val="24"/>
        </w:rPr>
        <w:t xml:space="preserve"> </w:t>
      </w:r>
      <w:r w:rsidR="00F82BDA" w:rsidRPr="00F101A0">
        <w:rPr>
          <w:rFonts w:ascii="Arial" w:hAnsi="Arial" w:cs="Arial"/>
          <w:sz w:val="24"/>
          <w:szCs w:val="24"/>
        </w:rPr>
        <w:t>“profession</w:t>
      </w:r>
      <w:r w:rsidR="00DA3D33" w:rsidRPr="00F101A0">
        <w:rPr>
          <w:rFonts w:ascii="Arial" w:hAnsi="Arial" w:cs="Arial"/>
          <w:sz w:val="24"/>
          <w:szCs w:val="24"/>
        </w:rPr>
        <w:t>al</w:t>
      </w:r>
      <w:r w:rsidR="00F82BDA" w:rsidRPr="00F101A0">
        <w:rPr>
          <w:rFonts w:ascii="Arial" w:hAnsi="Arial" w:cs="Arial"/>
          <w:sz w:val="24"/>
          <w:szCs w:val="24"/>
        </w:rPr>
        <w:t xml:space="preserve"> fields </w:t>
      </w:r>
      <w:r w:rsidR="00C044F6" w:rsidRPr="00F101A0">
        <w:rPr>
          <w:rFonts w:ascii="Arial" w:hAnsi="Arial" w:cs="Arial"/>
          <w:sz w:val="24"/>
          <w:szCs w:val="24"/>
        </w:rPr>
        <w:t xml:space="preserve">covered by the Protocol” for which </w:t>
      </w:r>
      <w:r w:rsidR="0080118A" w:rsidRPr="00F101A0">
        <w:rPr>
          <w:rFonts w:ascii="Arial" w:hAnsi="Arial" w:cs="Arial"/>
          <w:sz w:val="24"/>
          <w:szCs w:val="24"/>
        </w:rPr>
        <w:t xml:space="preserve">sectoral </w:t>
      </w:r>
      <w:r w:rsidR="00D825F3" w:rsidRPr="00F101A0">
        <w:rPr>
          <w:rFonts w:ascii="Arial" w:hAnsi="Arial" w:cs="Arial"/>
          <w:sz w:val="24"/>
          <w:szCs w:val="24"/>
        </w:rPr>
        <w:t xml:space="preserve">or </w:t>
      </w:r>
      <w:r w:rsidR="0080118A" w:rsidRPr="00F101A0">
        <w:rPr>
          <w:rFonts w:ascii="Arial" w:hAnsi="Arial" w:cs="Arial"/>
          <w:sz w:val="24"/>
          <w:szCs w:val="24"/>
        </w:rPr>
        <w:t xml:space="preserve">professional-specific </w:t>
      </w:r>
      <w:r w:rsidR="004D113A" w:rsidRPr="00F101A0">
        <w:rPr>
          <w:rFonts w:ascii="Arial" w:hAnsi="Arial" w:cs="Arial"/>
          <w:sz w:val="24"/>
          <w:szCs w:val="24"/>
        </w:rPr>
        <w:t xml:space="preserve">MRAs </w:t>
      </w:r>
      <w:r w:rsidR="00607548">
        <w:rPr>
          <w:rFonts w:ascii="Arial" w:hAnsi="Arial" w:cs="Arial"/>
          <w:sz w:val="24"/>
          <w:szCs w:val="24"/>
        </w:rPr>
        <w:t>were</w:t>
      </w:r>
      <w:r w:rsidR="00C044F6" w:rsidRPr="00F101A0">
        <w:rPr>
          <w:rFonts w:ascii="Arial" w:hAnsi="Arial" w:cs="Arial"/>
          <w:sz w:val="24"/>
          <w:szCs w:val="24"/>
        </w:rPr>
        <w:t xml:space="preserve"> envisage</w:t>
      </w:r>
      <w:r w:rsidR="00DA3D33" w:rsidRPr="00F101A0">
        <w:rPr>
          <w:rFonts w:ascii="Arial" w:hAnsi="Arial" w:cs="Arial"/>
          <w:sz w:val="24"/>
          <w:szCs w:val="24"/>
        </w:rPr>
        <w:t>d</w:t>
      </w:r>
      <w:r w:rsidR="00C044F6" w:rsidRPr="00F101A0">
        <w:rPr>
          <w:rFonts w:ascii="Arial" w:hAnsi="Arial" w:cs="Arial"/>
          <w:sz w:val="24"/>
          <w:szCs w:val="24"/>
        </w:rPr>
        <w:t xml:space="preserve"> in this pa</w:t>
      </w:r>
      <w:r w:rsidR="00FA2217" w:rsidRPr="00F101A0">
        <w:rPr>
          <w:rFonts w:ascii="Arial" w:hAnsi="Arial" w:cs="Arial"/>
          <w:sz w:val="24"/>
          <w:szCs w:val="24"/>
        </w:rPr>
        <w:t>ra</w:t>
      </w:r>
      <w:r w:rsidR="00C044F6" w:rsidRPr="00F101A0">
        <w:rPr>
          <w:rFonts w:ascii="Arial" w:hAnsi="Arial" w:cs="Arial"/>
          <w:sz w:val="24"/>
          <w:szCs w:val="24"/>
        </w:rPr>
        <w:t>graph</w:t>
      </w:r>
      <w:r w:rsidR="003B23F3" w:rsidRPr="00F101A0">
        <w:rPr>
          <w:rFonts w:ascii="Arial" w:hAnsi="Arial" w:cs="Arial"/>
          <w:sz w:val="24"/>
          <w:szCs w:val="24"/>
        </w:rPr>
        <w:t xml:space="preserve"> compared to the s</w:t>
      </w:r>
      <w:r w:rsidR="00D4247C" w:rsidRPr="00F101A0">
        <w:rPr>
          <w:rFonts w:ascii="Arial" w:hAnsi="Arial" w:cs="Arial"/>
          <w:sz w:val="24"/>
          <w:szCs w:val="24"/>
        </w:rPr>
        <w:t xml:space="preserve">ub-sector groups organised during the </w:t>
      </w:r>
      <w:r w:rsidR="00E51DD2" w:rsidRPr="00F101A0">
        <w:rPr>
          <w:rFonts w:ascii="Arial" w:hAnsi="Arial" w:cs="Arial"/>
          <w:sz w:val="24"/>
          <w:szCs w:val="24"/>
        </w:rPr>
        <w:t>workshop on MRAs in April 2023</w:t>
      </w:r>
      <w:r w:rsidR="004D113A" w:rsidRPr="00F101A0">
        <w:rPr>
          <w:rFonts w:ascii="Arial" w:hAnsi="Arial" w:cs="Arial"/>
          <w:sz w:val="24"/>
          <w:szCs w:val="24"/>
        </w:rPr>
        <w:t>.</w:t>
      </w:r>
      <w:r w:rsidR="00FA2217" w:rsidRPr="00F101A0">
        <w:rPr>
          <w:rFonts w:ascii="Arial" w:hAnsi="Arial" w:cs="Arial"/>
          <w:sz w:val="24"/>
          <w:szCs w:val="24"/>
        </w:rPr>
        <w:t xml:space="preserve"> It was explained that </w:t>
      </w:r>
      <w:r w:rsidR="00DA3D33" w:rsidRPr="00F101A0">
        <w:rPr>
          <w:rFonts w:ascii="Arial" w:hAnsi="Arial" w:cs="Arial"/>
          <w:sz w:val="24"/>
          <w:szCs w:val="24"/>
        </w:rPr>
        <w:t>this referred to</w:t>
      </w:r>
      <w:r w:rsidR="00FA2217" w:rsidRPr="00F101A0">
        <w:rPr>
          <w:rFonts w:ascii="Arial" w:hAnsi="Arial" w:cs="Arial"/>
          <w:sz w:val="24"/>
          <w:szCs w:val="24"/>
        </w:rPr>
        <w:t xml:space="preserve"> professional services </w:t>
      </w:r>
      <w:r w:rsidR="00E51DD2" w:rsidRPr="00F101A0">
        <w:rPr>
          <w:rFonts w:ascii="Arial" w:hAnsi="Arial" w:cs="Arial"/>
          <w:sz w:val="24"/>
          <w:szCs w:val="24"/>
        </w:rPr>
        <w:t>spe</w:t>
      </w:r>
      <w:r w:rsidR="00B1756F" w:rsidRPr="00F101A0">
        <w:rPr>
          <w:rFonts w:ascii="Arial" w:hAnsi="Arial" w:cs="Arial"/>
          <w:sz w:val="24"/>
          <w:szCs w:val="24"/>
        </w:rPr>
        <w:t>cified in t</w:t>
      </w:r>
      <w:r w:rsidR="00FA2217" w:rsidRPr="00F101A0">
        <w:rPr>
          <w:rFonts w:ascii="Arial" w:hAnsi="Arial" w:cs="Arial"/>
          <w:sz w:val="24"/>
          <w:szCs w:val="24"/>
        </w:rPr>
        <w:t>he Services Sectoral Classification List [document World Trade Organisation (WTO) MTN.GNS/W/120</w:t>
      </w:r>
      <w:r w:rsidR="00FA2217" w:rsidRPr="00F101A0">
        <w:rPr>
          <w:rFonts w:ascii="Arial" w:hAnsi="Arial" w:cs="Arial"/>
          <w:sz w:val="24"/>
          <w:szCs w:val="24"/>
          <w:u w:val="single"/>
        </w:rPr>
        <w:t>]</w:t>
      </w:r>
      <w:r w:rsidR="00A34B83" w:rsidRPr="00F101A0">
        <w:rPr>
          <w:rFonts w:ascii="Arial" w:hAnsi="Arial" w:cs="Arial"/>
          <w:sz w:val="24"/>
          <w:szCs w:val="24"/>
        </w:rPr>
        <w:t xml:space="preserve">, </w:t>
      </w:r>
      <w:r w:rsidR="003D26B5" w:rsidRPr="00F101A0">
        <w:rPr>
          <w:rFonts w:ascii="Arial" w:hAnsi="Arial" w:cs="Arial"/>
          <w:sz w:val="24"/>
          <w:szCs w:val="24"/>
        </w:rPr>
        <w:t xml:space="preserve">namely </w:t>
      </w:r>
      <w:r w:rsidR="00B1756F" w:rsidRPr="00F101A0">
        <w:rPr>
          <w:rFonts w:ascii="Arial" w:hAnsi="Arial" w:cs="Arial"/>
          <w:sz w:val="24"/>
          <w:szCs w:val="24"/>
        </w:rPr>
        <w:t>(</w:t>
      </w:r>
      <w:r w:rsidR="00634C75" w:rsidRPr="00F101A0">
        <w:rPr>
          <w:rFonts w:ascii="Arial" w:hAnsi="Arial" w:cs="Arial"/>
          <w:sz w:val="24"/>
          <w:szCs w:val="24"/>
        </w:rPr>
        <w:t xml:space="preserve">a) Legal Services, </w:t>
      </w:r>
      <w:r w:rsidR="00B1756F" w:rsidRPr="00F101A0">
        <w:rPr>
          <w:rFonts w:ascii="Arial" w:hAnsi="Arial" w:cs="Arial"/>
          <w:sz w:val="24"/>
          <w:szCs w:val="24"/>
        </w:rPr>
        <w:t>(</w:t>
      </w:r>
      <w:r w:rsidR="00634C75" w:rsidRPr="00F101A0">
        <w:rPr>
          <w:rFonts w:ascii="Arial" w:hAnsi="Arial" w:cs="Arial"/>
          <w:sz w:val="24"/>
          <w:szCs w:val="24"/>
        </w:rPr>
        <w:t xml:space="preserve">b) Accounting, auditing and bookkeeping services, </w:t>
      </w:r>
      <w:r w:rsidR="00B1756F" w:rsidRPr="00F101A0">
        <w:rPr>
          <w:rFonts w:ascii="Arial" w:hAnsi="Arial" w:cs="Arial"/>
          <w:sz w:val="24"/>
          <w:szCs w:val="24"/>
        </w:rPr>
        <w:t>(</w:t>
      </w:r>
      <w:r w:rsidR="00634C75" w:rsidRPr="00F101A0">
        <w:rPr>
          <w:rFonts w:ascii="Arial" w:hAnsi="Arial" w:cs="Arial"/>
          <w:sz w:val="24"/>
          <w:szCs w:val="24"/>
        </w:rPr>
        <w:t xml:space="preserve">c) Taxation Services, </w:t>
      </w:r>
      <w:r w:rsidR="00B1756F" w:rsidRPr="00F101A0">
        <w:rPr>
          <w:rFonts w:ascii="Arial" w:hAnsi="Arial" w:cs="Arial"/>
          <w:sz w:val="24"/>
          <w:szCs w:val="24"/>
        </w:rPr>
        <w:t>(</w:t>
      </w:r>
      <w:r w:rsidR="00634C75" w:rsidRPr="00F101A0">
        <w:rPr>
          <w:rFonts w:ascii="Arial" w:hAnsi="Arial" w:cs="Arial"/>
          <w:sz w:val="24"/>
          <w:szCs w:val="24"/>
        </w:rPr>
        <w:t xml:space="preserve">d) Architectural services, </w:t>
      </w:r>
      <w:r w:rsidR="00B1756F" w:rsidRPr="00F101A0">
        <w:rPr>
          <w:rFonts w:ascii="Arial" w:hAnsi="Arial" w:cs="Arial"/>
          <w:sz w:val="24"/>
          <w:szCs w:val="24"/>
        </w:rPr>
        <w:t>(</w:t>
      </w:r>
      <w:r w:rsidR="00634C75" w:rsidRPr="00F101A0">
        <w:rPr>
          <w:rFonts w:ascii="Arial" w:hAnsi="Arial" w:cs="Arial"/>
          <w:sz w:val="24"/>
          <w:szCs w:val="24"/>
        </w:rPr>
        <w:t xml:space="preserve">e) Engineering services, </w:t>
      </w:r>
      <w:r w:rsidR="00B1756F" w:rsidRPr="00F101A0">
        <w:rPr>
          <w:rFonts w:ascii="Arial" w:hAnsi="Arial" w:cs="Arial"/>
          <w:sz w:val="24"/>
          <w:szCs w:val="24"/>
        </w:rPr>
        <w:t>(</w:t>
      </w:r>
      <w:r w:rsidR="00634C75" w:rsidRPr="00F101A0">
        <w:rPr>
          <w:rFonts w:ascii="Arial" w:hAnsi="Arial" w:cs="Arial"/>
          <w:sz w:val="24"/>
          <w:szCs w:val="24"/>
        </w:rPr>
        <w:t xml:space="preserve">f) Integrated engineering services, </w:t>
      </w:r>
      <w:r w:rsidR="00B1756F" w:rsidRPr="00F101A0">
        <w:rPr>
          <w:rFonts w:ascii="Arial" w:hAnsi="Arial" w:cs="Arial"/>
          <w:sz w:val="24"/>
          <w:szCs w:val="24"/>
        </w:rPr>
        <w:t>(</w:t>
      </w:r>
      <w:r w:rsidR="00634C75" w:rsidRPr="00F101A0">
        <w:rPr>
          <w:rFonts w:ascii="Arial" w:hAnsi="Arial" w:cs="Arial"/>
          <w:sz w:val="24"/>
          <w:szCs w:val="24"/>
        </w:rPr>
        <w:t xml:space="preserve">g) Urban planning and landscape, architectural services, </w:t>
      </w:r>
      <w:r w:rsidR="00B1756F" w:rsidRPr="00F101A0">
        <w:rPr>
          <w:rFonts w:ascii="Arial" w:hAnsi="Arial" w:cs="Arial"/>
          <w:sz w:val="24"/>
          <w:szCs w:val="24"/>
        </w:rPr>
        <w:t>(</w:t>
      </w:r>
      <w:r w:rsidR="00634C75" w:rsidRPr="00F101A0">
        <w:rPr>
          <w:rFonts w:ascii="Arial" w:hAnsi="Arial" w:cs="Arial"/>
          <w:sz w:val="24"/>
          <w:szCs w:val="24"/>
        </w:rPr>
        <w:t xml:space="preserve">h) Medical and dental services, </w:t>
      </w:r>
      <w:r w:rsidR="00B1756F" w:rsidRPr="00F101A0">
        <w:rPr>
          <w:rFonts w:ascii="Arial" w:hAnsi="Arial" w:cs="Arial"/>
          <w:sz w:val="24"/>
          <w:szCs w:val="24"/>
        </w:rPr>
        <w:t>(</w:t>
      </w:r>
      <w:proofErr w:type="spellStart"/>
      <w:r w:rsidR="00634C75" w:rsidRPr="00F101A0">
        <w:rPr>
          <w:rFonts w:ascii="Arial" w:hAnsi="Arial" w:cs="Arial"/>
          <w:sz w:val="24"/>
          <w:szCs w:val="24"/>
        </w:rPr>
        <w:t>i</w:t>
      </w:r>
      <w:proofErr w:type="spellEnd"/>
      <w:r w:rsidR="00634C75" w:rsidRPr="00F101A0">
        <w:rPr>
          <w:rFonts w:ascii="Arial" w:hAnsi="Arial" w:cs="Arial"/>
          <w:sz w:val="24"/>
          <w:szCs w:val="24"/>
        </w:rPr>
        <w:t xml:space="preserve">) Veterinary services, </w:t>
      </w:r>
      <w:r w:rsidR="00B1756F" w:rsidRPr="00F101A0">
        <w:rPr>
          <w:rFonts w:ascii="Arial" w:hAnsi="Arial" w:cs="Arial"/>
          <w:sz w:val="24"/>
          <w:szCs w:val="24"/>
        </w:rPr>
        <w:t>(</w:t>
      </w:r>
      <w:r w:rsidR="00634C75" w:rsidRPr="00F101A0">
        <w:rPr>
          <w:rFonts w:ascii="Arial" w:hAnsi="Arial" w:cs="Arial"/>
          <w:sz w:val="24"/>
          <w:szCs w:val="24"/>
        </w:rPr>
        <w:t xml:space="preserve">j) Services provided by midwives, nurses, physiotherapists and para-medical personnel and (k) </w:t>
      </w:r>
      <w:r w:rsidR="00DA3D33" w:rsidRPr="00F101A0">
        <w:rPr>
          <w:rFonts w:ascii="Arial" w:hAnsi="Arial" w:cs="Arial"/>
          <w:sz w:val="24"/>
          <w:szCs w:val="24"/>
        </w:rPr>
        <w:t>O</w:t>
      </w:r>
      <w:r w:rsidR="00634C75" w:rsidRPr="00F101A0">
        <w:rPr>
          <w:rFonts w:ascii="Arial" w:hAnsi="Arial" w:cs="Arial"/>
          <w:sz w:val="24"/>
          <w:szCs w:val="24"/>
        </w:rPr>
        <w:t>thers</w:t>
      </w:r>
      <w:r w:rsidR="00E70B64" w:rsidRPr="00F101A0">
        <w:rPr>
          <w:rFonts w:ascii="Arial" w:hAnsi="Arial" w:cs="Arial"/>
          <w:sz w:val="24"/>
          <w:szCs w:val="24"/>
        </w:rPr>
        <w:t>.</w:t>
      </w:r>
      <w:r w:rsidR="00B1756F" w:rsidRPr="00F101A0">
        <w:rPr>
          <w:rFonts w:ascii="Arial" w:hAnsi="Arial" w:cs="Arial"/>
          <w:sz w:val="24"/>
          <w:szCs w:val="24"/>
        </w:rPr>
        <w:t xml:space="preserve"> </w:t>
      </w:r>
    </w:p>
    <w:p w14:paraId="034DBD08" w14:textId="5969F53E" w:rsidR="001230D4" w:rsidRPr="00F101A0" w:rsidRDefault="001230D4" w:rsidP="00F101A0">
      <w:pPr>
        <w:pStyle w:val="ListParagraph"/>
        <w:numPr>
          <w:ilvl w:val="0"/>
          <w:numId w:val="14"/>
        </w:numPr>
        <w:spacing w:before="240" w:after="0" w:line="312" w:lineRule="auto"/>
        <w:ind w:left="1710" w:hanging="859"/>
        <w:jc w:val="both"/>
        <w:rPr>
          <w:rFonts w:ascii="Arial" w:hAnsi="Arial" w:cs="Arial"/>
          <w:b/>
          <w:bCs/>
          <w:sz w:val="24"/>
          <w:szCs w:val="24"/>
        </w:rPr>
      </w:pPr>
      <w:r w:rsidRPr="00F101A0">
        <w:rPr>
          <w:rFonts w:ascii="Arial" w:hAnsi="Arial" w:cs="Arial"/>
          <w:b/>
          <w:bCs/>
          <w:sz w:val="24"/>
          <w:szCs w:val="24"/>
        </w:rPr>
        <w:lastRenderedPageBreak/>
        <w:t>Paragraph 3.3 on “</w:t>
      </w:r>
      <w:r w:rsidRPr="00F101A0">
        <w:rPr>
          <w:rFonts w:ascii="Arial" w:hAnsi="Arial" w:cs="Arial"/>
          <w:b/>
          <w:bCs/>
          <w:i/>
          <w:iCs/>
          <w:sz w:val="24"/>
          <w:szCs w:val="24"/>
        </w:rPr>
        <w:t xml:space="preserve">technical assistance and capacity building to the least-developed countries (LDCs) in accessing </w:t>
      </w:r>
      <w:r w:rsidR="007D4729" w:rsidRPr="00F101A0">
        <w:rPr>
          <w:rFonts w:ascii="Arial" w:hAnsi="Arial" w:cs="Arial"/>
          <w:b/>
          <w:bCs/>
          <w:i/>
          <w:iCs/>
          <w:sz w:val="24"/>
          <w:szCs w:val="24"/>
        </w:rPr>
        <w:t>MRAs</w:t>
      </w:r>
      <w:r w:rsidR="007D4729" w:rsidRPr="00F101A0">
        <w:rPr>
          <w:rFonts w:ascii="Arial" w:hAnsi="Arial" w:cs="Arial"/>
          <w:b/>
          <w:bCs/>
          <w:sz w:val="24"/>
          <w:szCs w:val="24"/>
        </w:rPr>
        <w:t>”.</w:t>
      </w:r>
    </w:p>
    <w:p w14:paraId="619C2DDE" w14:textId="3BEA59A3" w:rsidR="00CB3FD6" w:rsidRPr="00F101A0" w:rsidRDefault="009619A0" w:rsidP="009619A0">
      <w:pPr>
        <w:spacing w:before="240" w:after="0" w:line="312" w:lineRule="auto"/>
        <w:ind w:left="1710"/>
        <w:jc w:val="both"/>
        <w:rPr>
          <w:rFonts w:ascii="Arial" w:hAnsi="Arial" w:cs="Arial"/>
          <w:sz w:val="24"/>
          <w:szCs w:val="24"/>
        </w:rPr>
      </w:pPr>
      <w:r w:rsidRPr="00F101A0">
        <w:rPr>
          <w:rFonts w:ascii="Arial" w:hAnsi="Arial" w:cs="Arial"/>
          <w:sz w:val="24"/>
          <w:szCs w:val="24"/>
        </w:rPr>
        <w:t xml:space="preserve">It was noted that the Article 7 of the Protocol indicated the need for </w:t>
      </w:r>
      <w:r w:rsidR="00725DE8" w:rsidRPr="00F101A0">
        <w:rPr>
          <w:rFonts w:ascii="Arial" w:hAnsi="Arial" w:cs="Arial"/>
          <w:sz w:val="24"/>
          <w:szCs w:val="24"/>
        </w:rPr>
        <w:t xml:space="preserve">Member States </w:t>
      </w:r>
      <w:r w:rsidRPr="00F101A0">
        <w:rPr>
          <w:rFonts w:ascii="Arial" w:hAnsi="Arial" w:cs="Arial"/>
          <w:sz w:val="24"/>
          <w:szCs w:val="24"/>
        </w:rPr>
        <w:t>to</w:t>
      </w:r>
      <w:r w:rsidR="00725DE8" w:rsidRPr="00F101A0">
        <w:rPr>
          <w:rFonts w:ascii="Arial" w:hAnsi="Arial" w:cs="Arial"/>
          <w:sz w:val="24"/>
          <w:szCs w:val="24"/>
        </w:rPr>
        <w:t xml:space="preserve"> </w:t>
      </w:r>
      <w:r w:rsidR="002A6DF2" w:rsidRPr="00F101A0">
        <w:rPr>
          <w:rFonts w:ascii="Arial" w:hAnsi="Arial" w:cs="Arial"/>
          <w:sz w:val="24"/>
          <w:szCs w:val="24"/>
        </w:rPr>
        <w:t xml:space="preserve">provide </w:t>
      </w:r>
      <w:r w:rsidR="00725DE8" w:rsidRPr="00F101A0">
        <w:rPr>
          <w:rFonts w:ascii="Arial" w:hAnsi="Arial" w:cs="Arial"/>
          <w:sz w:val="24"/>
          <w:szCs w:val="24"/>
        </w:rPr>
        <w:t>technical assistance</w:t>
      </w:r>
      <w:r w:rsidR="002A6DF2" w:rsidRPr="00F101A0">
        <w:rPr>
          <w:rFonts w:ascii="Arial" w:hAnsi="Arial" w:cs="Arial"/>
          <w:sz w:val="24"/>
          <w:szCs w:val="24"/>
        </w:rPr>
        <w:t xml:space="preserve"> and capacity building</w:t>
      </w:r>
      <w:r w:rsidR="004C67E2" w:rsidRPr="00F101A0">
        <w:rPr>
          <w:rFonts w:ascii="Arial" w:hAnsi="Arial" w:cs="Arial"/>
          <w:sz w:val="24"/>
          <w:szCs w:val="24"/>
        </w:rPr>
        <w:t xml:space="preserve"> to the LDCs in accessing MRAs.</w:t>
      </w:r>
      <w:r w:rsidR="00E06E51" w:rsidRPr="00F101A0">
        <w:rPr>
          <w:rFonts w:ascii="Arial" w:hAnsi="Arial" w:cs="Arial"/>
          <w:sz w:val="24"/>
          <w:szCs w:val="24"/>
        </w:rPr>
        <w:t xml:space="preserve"> </w:t>
      </w:r>
      <w:r w:rsidRPr="00F101A0">
        <w:rPr>
          <w:rFonts w:ascii="Arial" w:hAnsi="Arial" w:cs="Arial"/>
          <w:sz w:val="24"/>
          <w:szCs w:val="24"/>
        </w:rPr>
        <w:t xml:space="preserve">However, it was not clear which Member States </w:t>
      </w:r>
      <w:proofErr w:type="gramStart"/>
      <w:r w:rsidR="00607548">
        <w:rPr>
          <w:rFonts w:ascii="Arial" w:hAnsi="Arial" w:cs="Arial"/>
          <w:sz w:val="24"/>
          <w:szCs w:val="24"/>
        </w:rPr>
        <w:t>we</w:t>
      </w:r>
      <w:r w:rsidRPr="00F101A0">
        <w:rPr>
          <w:rFonts w:ascii="Arial" w:hAnsi="Arial" w:cs="Arial"/>
          <w:sz w:val="24"/>
          <w:szCs w:val="24"/>
        </w:rPr>
        <w:t xml:space="preserve">re considered </w:t>
      </w:r>
      <w:r w:rsidR="00607548">
        <w:rPr>
          <w:rFonts w:ascii="Arial" w:hAnsi="Arial" w:cs="Arial"/>
          <w:sz w:val="24"/>
          <w:szCs w:val="24"/>
        </w:rPr>
        <w:t>to be</w:t>
      </w:r>
      <w:proofErr w:type="gramEnd"/>
      <w:r w:rsidR="00607548">
        <w:rPr>
          <w:rFonts w:ascii="Arial" w:hAnsi="Arial" w:cs="Arial"/>
          <w:sz w:val="24"/>
          <w:szCs w:val="24"/>
        </w:rPr>
        <w:t xml:space="preserve"> </w:t>
      </w:r>
      <w:r w:rsidRPr="00F101A0">
        <w:rPr>
          <w:rFonts w:ascii="Arial" w:hAnsi="Arial" w:cs="Arial"/>
          <w:sz w:val="24"/>
          <w:szCs w:val="24"/>
        </w:rPr>
        <w:t xml:space="preserve">LDCs in </w:t>
      </w:r>
      <w:r w:rsidR="00607548">
        <w:rPr>
          <w:rFonts w:ascii="Arial" w:hAnsi="Arial" w:cs="Arial"/>
          <w:sz w:val="24"/>
          <w:szCs w:val="24"/>
        </w:rPr>
        <w:t xml:space="preserve">the </w:t>
      </w:r>
      <w:r w:rsidRPr="00F101A0">
        <w:rPr>
          <w:rFonts w:ascii="Arial" w:hAnsi="Arial" w:cs="Arial"/>
          <w:sz w:val="24"/>
          <w:szCs w:val="24"/>
        </w:rPr>
        <w:t>SADC</w:t>
      </w:r>
      <w:r w:rsidR="00607548">
        <w:rPr>
          <w:rFonts w:ascii="Arial" w:hAnsi="Arial" w:cs="Arial"/>
          <w:sz w:val="24"/>
          <w:szCs w:val="24"/>
        </w:rPr>
        <w:t xml:space="preserve"> context</w:t>
      </w:r>
      <w:r w:rsidR="009C6F9E" w:rsidRPr="00F101A0">
        <w:rPr>
          <w:rFonts w:ascii="Arial" w:hAnsi="Arial" w:cs="Arial"/>
          <w:sz w:val="24"/>
          <w:szCs w:val="24"/>
        </w:rPr>
        <w:t xml:space="preserve">, and whether it </w:t>
      </w:r>
      <w:r w:rsidR="00607548">
        <w:rPr>
          <w:rFonts w:ascii="Arial" w:hAnsi="Arial" w:cs="Arial"/>
          <w:sz w:val="24"/>
          <w:szCs w:val="24"/>
        </w:rPr>
        <w:t>was</w:t>
      </w:r>
      <w:r w:rsidR="009C6F9E" w:rsidRPr="00F101A0">
        <w:rPr>
          <w:rFonts w:ascii="Arial" w:hAnsi="Arial" w:cs="Arial"/>
          <w:sz w:val="24"/>
          <w:szCs w:val="24"/>
        </w:rPr>
        <w:t xml:space="preserve"> the Member States or the Secretariat that </w:t>
      </w:r>
      <w:r w:rsidR="00607548">
        <w:rPr>
          <w:rFonts w:ascii="Arial" w:hAnsi="Arial" w:cs="Arial"/>
          <w:sz w:val="24"/>
          <w:szCs w:val="24"/>
        </w:rPr>
        <w:t>would</w:t>
      </w:r>
      <w:r w:rsidR="009C6F9E" w:rsidRPr="00F101A0">
        <w:rPr>
          <w:rFonts w:ascii="Arial" w:hAnsi="Arial" w:cs="Arial"/>
          <w:sz w:val="24"/>
          <w:szCs w:val="24"/>
        </w:rPr>
        <w:t xml:space="preserve"> provide </w:t>
      </w:r>
      <w:r w:rsidR="00F908F4" w:rsidRPr="00F101A0">
        <w:rPr>
          <w:rFonts w:ascii="Arial" w:hAnsi="Arial" w:cs="Arial"/>
          <w:sz w:val="24"/>
          <w:szCs w:val="24"/>
        </w:rPr>
        <w:t xml:space="preserve">such assistance. </w:t>
      </w:r>
      <w:r w:rsidRPr="00F101A0">
        <w:rPr>
          <w:rFonts w:ascii="Arial" w:hAnsi="Arial" w:cs="Arial"/>
          <w:sz w:val="24"/>
          <w:szCs w:val="24"/>
        </w:rPr>
        <w:t xml:space="preserve"> </w:t>
      </w:r>
    </w:p>
    <w:p w14:paraId="517B0F41" w14:textId="4AB7F1F8" w:rsidR="00F908F4" w:rsidRPr="00F101A0" w:rsidRDefault="009619A0" w:rsidP="009619A0">
      <w:pPr>
        <w:spacing w:before="240" w:after="0" w:line="312" w:lineRule="auto"/>
        <w:ind w:left="1710"/>
        <w:jc w:val="both"/>
        <w:rPr>
          <w:rFonts w:ascii="Arial" w:hAnsi="Arial" w:cs="Arial"/>
          <w:sz w:val="24"/>
          <w:szCs w:val="24"/>
        </w:rPr>
      </w:pPr>
      <w:r w:rsidRPr="00F101A0">
        <w:rPr>
          <w:rFonts w:ascii="Arial" w:hAnsi="Arial" w:cs="Arial"/>
          <w:sz w:val="24"/>
          <w:szCs w:val="24"/>
        </w:rPr>
        <w:t xml:space="preserve">It was </w:t>
      </w:r>
      <w:r w:rsidR="00E06E51" w:rsidRPr="00F101A0">
        <w:rPr>
          <w:rFonts w:ascii="Arial" w:hAnsi="Arial" w:cs="Arial"/>
          <w:sz w:val="24"/>
          <w:szCs w:val="24"/>
        </w:rPr>
        <w:t xml:space="preserve">explained </w:t>
      </w:r>
      <w:r w:rsidR="00960E69" w:rsidRPr="00F101A0">
        <w:rPr>
          <w:rFonts w:ascii="Arial" w:hAnsi="Arial" w:cs="Arial"/>
          <w:sz w:val="24"/>
          <w:szCs w:val="24"/>
        </w:rPr>
        <w:t>that</w:t>
      </w:r>
      <w:r w:rsidR="001C0452" w:rsidRPr="00F101A0">
        <w:rPr>
          <w:rFonts w:ascii="Arial" w:hAnsi="Arial" w:cs="Arial"/>
          <w:sz w:val="24"/>
          <w:szCs w:val="24"/>
        </w:rPr>
        <w:t>:</w:t>
      </w:r>
    </w:p>
    <w:p w14:paraId="20D59240" w14:textId="268DCABA" w:rsidR="00F95DD0" w:rsidRPr="00F101A0" w:rsidRDefault="00F95DD0" w:rsidP="00F101A0">
      <w:pPr>
        <w:pStyle w:val="ListParagraph"/>
        <w:numPr>
          <w:ilvl w:val="2"/>
          <w:numId w:val="4"/>
        </w:numPr>
        <w:spacing w:before="240" w:after="0" w:line="312" w:lineRule="auto"/>
        <w:ind w:left="2430" w:right="372" w:hanging="720"/>
        <w:jc w:val="both"/>
        <w:rPr>
          <w:rFonts w:ascii="Arial" w:hAnsi="Arial" w:cs="Arial"/>
          <w:sz w:val="24"/>
          <w:szCs w:val="24"/>
        </w:rPr>
      </w:pPr>
      <w:r w:rsidRPr="00607548">
        <w:rPr>
          <w:rFonts w:ascii="Arial" w:hAnsi="Arial" w:cs="Arial"/>
          <w:b/>
          <w:bCs/>
          <w:sz w:val="24"/>
          <w:szCs w:val="24"/>
        </w:rPr>
        <w:t>LDC Member Sates</w:t>
      </w:r>
      <w:r w:rsidRPr="00F101A0">
        <w:rPr>
          <w:rFonts w:ascii="Arial" w:hAnsi="Arial" w:cs="Arial"/>
          <w:sz w:val="24"/>
          <w:szCs w:val="24"/>
        </w:rPr>
        <w:t xml:space="preserve"> </w:t>
      </w:r>
      <w:r w:rsidR="00607548">
        <w:rPr>
          <w:rFonts w:ascii="Arial" w:hAnsi="Arial" w:cs="Arial"/>
          <w:sz w:val="24"/>
          <w:szCs w:val="24"/>
        </w:rPr>
        <w:t>–</w:t>
      </w:r>
      <w:r w:rsidRPr="00F101A0">
        <w:rPr>
          <w:rFonts w:ascii="Arial" w:hAnsi="Arial" w:cs="Arial"/>
          <w:sz w:val="24"/>
          <w:szCs w:val="24"/>
        </w:rPr>
        <w:t xml:space="preserve"> </w:t>
      </w:r>
      <w:r w:rsidR="003C7826" w:rsidRPr="00F101A0">
        <w:rPr>
          <w:rFonts w:ascii="Arial" w:hAnsi="Arial" w:cs="Arial"/>
          <w:sz w:val="24"/>
          <w:szCs w:val="24"/>
        </w:rPr>
        <w:t>SADC ha</w:t>
      </w:r>
      <w:r w:rsidR="00607548">
        <w:rPr>
          <w:rFonts w:ascii="Arial" w:hAnsi="Arial" w:cs="Arial"/>
          <w:sz w:val="24"/>
          <w:szCs w:val="24"/>
        </w:rPr>
        <w:t>d</w:t>
      </w:r>
      <w:r w:rsidR="003C7826" w:rsidRPr="00F101A0">
        <w:rPr>
          <w:rFonts w:ascii="Arial" w:hAnsi="Arial" w:cs="Arial"/>
          <w:sz w:val="24"/>
          <w:szCs w:val="24"/>
        </w:rPr>
        <w:t xml:space="preserve"> </w:t>
      </w:r>
      <w:r w:rsidR="006736A3" w:rsidRPr="00F101A0">
        <w:rPr>
          <w:rFonts w:ascii="Arial" w:hAnsi="Arial" w:cs="Arial"/>
          <w:sz w:val="24"/>
          <w:szCs w:val="24"/>
        </w:rPr>
        <w:t>no</w:t>
      </w:r>
      <w:r w:rsidR="00960E69" w:rsidRPr="00F101A0">
        <w:rPr>
          <w:rFonts w:ascii="Arial" w:hAnsi="Arial" w:cs="Arial"/>
          <w:sz w:val="24"/>
          <w:szCs w:val="24"/>
        </w:rPr>
        <w:t xml:space="preserve"> definition of LDCs</w:t>
      </w:r>
      <w:r w:rsidR="007B26D1" w:rsidRPr="00F101A0">
        <w:rPr>
          <w:rFonts w:ascii="Arial" w:hAnsi="Arial" w:cs="Arial"/>
          <w:sz w:val="24"/>
          <w:szCs w:val="24"/>
        </w:rPr>
        <w:t xml:space="preserve"> in any of its legal instrument</w:t>
      </w:r>
      <w:r w:rsidR="00B441BF" w:rsidRPr="00F101A0">
        <w:rPr>
          <w:rFonts w:ascii="Arial" w:hAnsi="Arial" w:cs="Arial"/>
          <w:sz w:val="24"/>
          <w:szCs w:val="24"/>
        </w:rPr>
        <w:t>s</w:t>
      </w:r>
      <w:r w:rsidR="003C7826" w:rsidRPr="00F101A0">
        <w:rPr>
          <w:rFonts w:ascii="Arial" w:hAnsi="Arial" w:cs="Arial"/>
          <w:sz w:val="24"/>
          <w:szCs w:val="24"/>
        </w:rPr>
        <w:t xml:space="preserve">, </w:t>
      </w:r>
      <w:r w:rsidR="009619A0" w:rsidRPr="00F101A0">
        <w:rPr>
          <w:rFonts w:ascii="Arial" w:hAnsi="Arial" w:cs="Arial"/>
          <w:sz w:val="24"/>
          <w:szCs w:val="24"/>
        </w:rPr>
        <w:t xml:space="preserve">but </w:t>
      </w:r>
      <w:r w:rsidR="000676A2" w:rsidRPr="00F101A0">
        <w:rPr>
          <w:rFonts w:ascii="Arial" w:hAnsi="Arial" w:cs="Arial"/>
          <w:sz w:val="24"/>
          <w:szCs w:val="24"/>
        </w:rPr>
        <w:t>Article 1</w:t>
      </w:r>
      <w:r w:rsidR="00607548">
        <w:rPr>
          <w:rFonts w:ascii="Arial" w:hAnsi="Arial" w:cs="Arial"/>
          <w:sz w:val="24"/>
          <w:szCs w:val="24"/>
        </w:rPr>
        <w:t>.2</w:t>
      </w:r>
      <w:r w:rsidR="000676A2" w:rsidRPr="00F101A0">
        <w:rPr>
          <w:rFonts w:ascii="Arial" w:hAnsi="Arial" w:cs="Arial"/>
          <w:sz w:val="24"/>
          <w:szCs w:val="24"/>
        </w:rPr>
        <w:t xml:space="preserve"> of the</w:t>
      </w:r>
      <w:r w:rsidR="009619A0" w:rsidRPr="00F101A0">
        <w:rPr>
          <w:rFonts w:ascii="Arial" w:hAnsi="Arial" w:cs="Arial"/>
          <w:sz w:val="24"/>
          <w:szCs w:val="24"/>
        </w:rPr>
        <w:t xml:space="preserve"> Protocol on Trade in Services </w:t>
      </w:r>
      <w:r w:rsidR="00607548">
        <w:rPr>
          <w:rFonts w:ascii="Arial" w:hAnsi="Arial" w:cs="Arial"/>
          <w:sz w:val="24"/>
          <w:szCs w:val="24"/>
        </w:rPr>
        <w:t>read</w:t>
      </w:r>
      <w:r w:rsidR="007B65C5" w:rsidRPr="00F101A0">
        <w:rPr>
          <w:rFonts w:ascii="Arial" w:hAnsi="Arial" w:cs="Arial"/>
          <w:sz w:val="24"/>
          <w:szCs w:val="24"/>
        </w:rPr>
        <w:t xml:space="preserve"> </w:t>
      </w:r>
      <w:r w:rsidR="00F908F4" w:rsidRPr="00F101A0">
        <w:rPr>
          <w:rFonts w:ascii="Arial" w:hAnsi="Arial" w:cs="Arial"/>
          <w:sz w:val="24"/>
          <w:szCs w:val="24"/>
        </w:rPr>
        <w:t>“a</w:t>
      </w:r>
      <w:r w:rsidR="007B65C5" w:rsidRPr="00F101A0">
        <w:rPr>
          <w:rFonts w:ascii="Arial" w:hAnsi="Arial" w:cs="Arial"/>
          <w:i/>
          <w:iCs/>
          <w:sz w:val="24"/>
          <w:szCs w:val="24"/>
        </w:rPr>
        <w:t>ll other terms relating to any matter directly regulated by this Protocol not defined herewith are deemed to have the same meaning as in the WTO General Agreement on Trade in Services (GATS)</w:t>
      </w:r>
      <w:r w:rsidR="00F908F4" w:rsidRPr="00F101A0">
        <w:rPr>
          <w:rFonts w:ascii="Arial" w:hAnsi="Arial" w:cs="Arial"/>
          <w:i/>
          <w:iCs/>
          <w:sz w:val="24"/>
          <w:szCs w:val="24"/>
        </w:rPr>
        <w:t>”</w:t>
      </w:r>
      <w:r w:rsidR="007B65C5" w:rsidRPr="00F101A0">
        <w:rPr>
          <w:rFonts w:ascii="Arial" w:hAnsi="Arial" w:cs="Arial"/>
          <w:i/>
          <w:iCs/>
          <w:sz w:val="24"/>
          <w:szCs w:val="24"/>
        </w:rPr>
        <w:t>.</w:t>
      </w:r>
      <w:r w:rsidR="00F908F4" w:rsidRPr="00F101A0">
        <w:rPr>
          <w:rFonts w:ascii="Arial" w:hAnsi="Arial" w:cs="Arial"/>
          <w:i/>
          <w:iCs/>
          <w:sz w:val="24"/>
          <w:szCs w:val="24"/>
        </w:rPr>
        <w:t xml:space="preserve"> </w:t>
      </w:r>
      <w:r w:rsidR="000676A2" w:rsidRPr="00F101A0">
        <w:rPr>
          <w:rFonts w:ascii="Arial" w:hAnsi="Arial" w:cs="Arial"/>
          <w:sz w:val="24"/>
          <w:szCs w:val="24"/>
        </w:rPr>
        <w:t>Th</w:t>
      </w:r>
      <w:r w:rsidR="009619A0" w:rsidRPr="00F101A0">
        <w:rPr>
          <w:rFonts w:ascii="Arial" w:hAnsi="Arial" w:cs="Arial"/>
          <w:sz w:val="24"/>
          <w:szCs w:val="24"/>
        </w:rPr>
        <w:t xml:space="preserve">is </w:t>
      </w:r>
      <w:r w:rsidR="00FA3E4C" w:rsidRPr="00F101A0">
        <w:rPr>
          <w:rFonts w:ascii="Arial" w:hAnsi="Arial" w:cs="Arial"/>
          <w:sz w:val="24"/>
          <w:szCs w:val="24"/>
        </w:rPr>
        <w:t>implie</w:t>
      </w:r>
      <w:r w:rsidR="00607548">
        <w:rPr>
          <w:rFonts w:ascii="Arial" w:hAnsi="Arial" w:cs="Arial"/>
          <w:sz w:val="24"/>
          <w:szCs w:val="24"/>
        </w:rPr>
        <w:t>d</w:t>
      </w:r>
      <w:r w:rsidR="000676A2" w:rsidRPr="00F101A0">
        <w:rPr>
          <w:rFonts w:ascii="Arial" w:hAnsi="Arial" w:cs="Arial"/>
          <w:sz w:val="24"/>
          <w:szCs w:val="24"/>
        </w:rPr>
        <w:t xml:space="preserve"> </w:t>
      </w:r>
      <w:r w:rsidR="003C7826" w:rsidRPr="00F101A0">
        <w:rPr>
          <w:rFonts w:ascii="Arial" w:hAnsi="Arial" w:cs="Arial"/>
          <w:sz w:val="24"/>
          <w:szCs w:val="24"/>
        </w:rPr>
        <w:t xml:space="preserve">that </w:t>
      </w:r>
      <w:r w:rsidR="000B3D15" w:rsidRPr="00F101A0">
        <w:rPr>
          <w:rFonts w:ascii="Arial" w:hAnsi="Arial" w:cs="Arial"/>
          <w:sz w:val="24"/>
          <w:szCs w:val="24"/>
        </w:rPr>
        <w:t>the term LDC</w:t>
      </w:r>
      <w:r w:rsidR="006736A3" w:rsidRPr="00F101A0">
        <w:rPr>
          <w:rFonts w:ascii="Arial" w:hAnsi="Arial" w:cs="Arial"/>
          <w:sz w:val="24"/>
          <w:szCs w:val="24"/>
        </w:rPr>
        <w:t xml:space="preserve"> </w:t>
      </w:r>
      <w:r w:rsidR="00F735BA" w:rsidRPr="00F101A0">
        <w:rPr>
          <w:rFonts w:ascii="Arial" w:hAnsi="Arial" w:cs="Arial"/>
          <w:sz w:val="24"/>
          <w:szCs w:val="24"/>
        </w:rPr>
        <w:t xml:space="preserve">used in the Protocol </w:t>
      </w:r>
      <w:r w:rsidR="006736A3" w:rsidRPr="00F101A0">
        <w:rPr>
          <w:rFonts w:ascii="Arial" w:hAnsi="Arial" w:cs="Arial"/>
          <w:sz w:val="24"/>
          <w:szCs w:val="24"/>
        </w:rPr>
        <w:t xml:space="preserve">shall be interpreted </w:t>
      </w:r>
      <w:r w:rsidR="00886AD9" w:rsidRPr="00F101A0">
        <w:rPr>
          <w:rFonts w:ascii="Arial" w:hAnsi="Arial" w:cs="Arial"/>
          <w:sz w:val="24"/>
          <w:szCs w:val="24"/>
        </w:rPr>
        <w:t>within its meaning</w:t>
      </w:r>
      <w:r w:rsidR="006736A3" w:rsidRPr="00F101A0">
        <w:rPr>
          <w:rFonts w:ascii="Arial" w:hAnsi="Arial" w:cs="Arial"/>
          <w:sz w:val="24"/>
          <w:szCs w:val="24"/>
        </w:rPr>
        <w:t xml:space="preserve"> under the </w:t>
      </w:r>
      <w:r w:rsidR="00886AD9" w:rsidRPr="00F101A0">
        <w:rPr>
          <w:rFonts w:ascii="Arial" w:hAnsi="Arial" w:cs="Arial"/>
          <w:sz w:val="24"/>
          <w:szCs w:val="24"/>
        </w:rPr>
        <w:t>GATS</w:t>
      </w:r>
      <w:r w:rsidR="00EF6BE1" w:rsidRPr="00F101A0">
        <w:rPr>
          <w:rFonts w:ascii="Arial" w:hAnsi="Arial" w:cs="Arial"/>
          <w:sz w:val="24"/>
          <w:szCs w:val="24"/>
        </w:rPr>
        <w:t xml:space="preserve">, </w:t>
      </w:r>
      <w:r w:rsidR="00B73C9A" w:rsidRPr="00F101A0">
        <w:rPr>
          <w:rFonts w:ascii="Arial" w:hAnsi="Arial" w:cs="Arial"/>
          <w:sz w:val="24"/>
          <w:szCs w:val="24"/>
        </w:rPr>
        <w:t xml:space="preserve">and hence a Member </w:t>
      </w:r>
      <w:r w:rsidR="00AC3782" w:rsidRPr="00F101A0">
        <w:rPr>
          <w:rFonts w:ascii="Arial" w:hAnsi="Arial" w:cs="Arial"/>
          <w:sz w:val="24"/>
          <w:szCs w:val="24"/>
        </w:rPr>
        <w:t>State</w:t>
      </w:r>
      <w:r w:rsidR="00B73C9A" w:rsidRPr="00F101A0">
        <w:rPr>
          <w:rFonts w:ascii="Arial" w:hAnsi="Arial" w:cs="Arial"/>
          <w:sz w:val="24"/>
          <w:szCs w:val="24"/>
        </w:rPr>
        <w:t xml:space="preserve"> considered </w:t>
      </w:r>
      <w:r w:rsidR="00B441BF" w:rsidRPr="00F101A0">
        <w:rPr>
          <w:rFonts w:ascii="Arial" w:hAnsi="Arial" w:cs="Arial"/>
          <w:sz w:val="24"/>
          <w:szCs w:val="24"/>
        </w:rPr>
        <w:t xml:space="preserve">to be </w:t>
      </w:r>
      <w:r w:rsidR="00B73C9A" w:rsidRPr="00F101A0">
        <w:rPr>
          <w:rFonts w:ascii="Arial" w:hAnsi="Arial" w:cs="Arial"/>
          <w:sz w:val="24"/>
          <w:szCs w:val="24"/>
        </w:rPr>
        <w:t>an</w:t>
      </w:r>
      <w:r w:rsidR="00C65912" w:rsidRPr="00F101A0">
        <w:rPr>
          <w:rFonts w:ascii="Arial" w:hAnsi="Arial" w:cs="Arial"/>
          <w:sz w:val="24"/>
          <w:szCs w:val="24"/>
        </w:rPr>
        <w:t xml:space="preserve"> LDC under </w:t>
      </w:r>
      <w:r w:rsidR="00B441BF" w:rsidRPr="00F101A0">
        <w:rPr>
          <w:rFonts w:ascii="Arial" w:hAnsi="Arial" w:cs="Arial"/>
          <w:sz w:val="24"/>
          <w:szCs w:val="24"/>
        </w:rPr>
        <w:t xml:space="preserve">the </w:t>
      </w:r>
      <w:r w:rsidR="00C65912" w:rsidRPr="00F101A0">
        <w:rPr>
          <w:rFonts w:ascii="Arial" w:hAnsi="Arial" w:cs="Arial"/>
          <w:sz w:val="24"/>
          <w:szCs w:val="24"/>
        </w:rPr>
        <w:t xml:space="preserve">WTO </w:t>
      </w:r>
      <w:r w:rsidR="00607548">
        <w:rPr>
          <w:rFonts w:ascii="Arial" w:hAnsi="Arial" w:cs="Arial"/>
          <w:sz w:val="24"/>
          <w:szCs w:val="24"/>
        </w:rPr>
        <w:t>would</w:t>
      </w:r>
      <w:r w:rsidR="00F11DFC" w:rsidRPr="00F101A0">
        <w:rPr>
          <w:rFonts w:ascii="Arial" w:hAnsi="Arial" w:cs="Arial"/>
          <w:sz w:val="24"/>
          <w:szCs w:val="24"/>
        </w:rPr>
        <w:t xml:space="preserve"> have the same status</w:t>
      </w:r>
      <w:r w:rsidR="00C26212" w:rsidRPr="00F101A0">
        <w:rPr>
          <w:rFonts w:ascii="Arial" w:hAnsi="Arial" w:cs="Arial"/>
          <w:sz w:val="24"/>
          <w:szCs w:val="24"/>
        </w:rPr>
        <w:t xml:space="preserve"> under the Protocol. </w:t>
      </w:r>
    </w:p>
    <w:p w14:paraId="3A5A666F" w14:textId="18A2806E" w:rsidR="00345B3E" w:rsidRPr="00F101A0" w:rsidRDefault="00B441BF" w:rsidP="00607548">
      <w:pPr>
        <w:pStyle w:val="ListParagraph"/>
        <w:numPr>
          <w:ilvl w:val="2"/>
          <w:numId w:val="4"/>
        </w:numPr>
        <w:spacing w:before="240" w:after="0" w:line="312" w:lineRule="auto"/>
        <w:ind w:left="2430" w:right="372" w:hanging="720"/>
        <w:jc w:val="both"/>
        <w:rPr>
          <w:rFonts w:ascii="Arial" w:hAnsi="Arial" w:cs="Arial"/>
          <w:sz w:val="24"/>
          <w:szCs w:val="24"/>
        </w:rPr>
      </w:pPr>
      <w:r w:rsidRPr="00607548">
        <w:rPr>
          <w:rFonts w:ascii="Arial" w:hAnsi="Arial" w:cs="Arial"/>
          <w:b/>
          <w:bCs/>
          <w:sz w:val="24"/>
          <w:szCs w:val="24"/>
        </w:rPr>
        <w:t>E</w:t>
      </w:r>
      <w:r w:rsidR="00672815" w:rsidRPr="00607548">
        <w:rPr>
          <w:rFonts w:ascii="Arial" w:hAnsi="Arial" w:cs="Arial"/>
          <w:b/>
          <w:bCs/>
          <w:sz w:val="24"/>
          <w:szCs w:val="24"/>
        </w:rPr>
        <w:t>ntities responsible for providing t</w:t>
      </w:r>
      <w:r w:rsidR="00D83A8D" w:rsidRPr="00607548">
        <w:rPr>
          <w:rFonts w:ascii="Arial" w:hAnsi="Arial" w:cs="Arial"/>
          <w:b/>
          <w:bCs/>
          <w:sz w:val="24"/>
          <w:szCs w:val="24"/>
        </w:rPr>
        <w:t>echnical assistance</w:t>
      </w:r>
      <w:r w:rsidR="00F95DD0" w:rsidRPr="00F101A0">
        <w:rPr>
          <w:rFonts w:ascii="Arial" w:hAnsi="Arial" w:cs="Arial"/>
          <w:sz w:val="24"/>
          <w:szCs w:val="24"/>
        </w:rPr>
        <w:t xml:space="preserve"> </w:t>
      </w:r>
      <w:proofErr w:type="gramStart"/>
      <w:r w:rsidR="00A445EC" w:rsidRPr="00F101A0">
        <w:rPr>
          <w:rFonts w:ascii="Arial" w:hAnsi="Arial" w:cs="Arial"/>
          <w:sz w:val="24"/>
          <w:szCs w:val="24"/>
        </w:rPr>
        <w:t>–</w:t>
      </w:r>
      <w:r w:rsidR="00F95DD0" w:rsidRPr="00F101A0">
        <w:rPr>
          <w:rFonts w:ascii="Arial" w:hAnsi="Arial" w:cs="Arial"/>
          <w:sz w:val="24"/>
          <w:szCs w:val="24"/>
        </w:rPr>
        <w:t xml:space="preserve"> </w:t>
      </w:r>
      <w:r w:rsidR="00304247" w:rsidRPr="00F101A0">
        <w:rPr>
          <w:rFonts w:ascii="Arial" w:hAnsi="Arial" w:cs="Arial"/>
          <w:sz w:val="24"/>
          <w:szCs w:val="24"/>
        </w:rPr>
        <w:t xml:space="preserve"> Article</w:t>
      </w:r>
      <w:proofErr w:type="gramEnd"/>
      <w:r w:rsidR="00304247" w:rsidRPr="00F101A0">
        <w:rPr>
          <w:rFonts w:ascii="Arial" w:hAnsi="Arial" w:cs="Arial"/>
          <w:sz w:val="24"/>
          <w:szCs w:val="24"/>
        </w:rPr>
        <w:t xml:space="preserve"> 7.3</w:t>
      </w:r>
      <w:r w:rsidR="005769B5" w:rsidRPr="00F101A0">
        <w:rPr>
          <w:rFonts w:ascii="Arial" w:hAnsi="Arial" w:cs="Arial"/>
          <w:sz w:val="24"/>
          <w:szCs w:val="24"/>
        </w:rPr>
        <w:t xml:space="preserve"> </w:t>
      </w:r>
      <w:r w:rsidR="00A445EC" w:rsidRPr="00F101A0">
        <w:rPr>
          <w:rFonts w:ascii="Arial" w:hAnsi="Arial" w:cs="Arial"/>
          <w:sz w:val="24"/>
          <w:szCs w:val="24"/>
        </w:rPr>
        <w:t xml:space="preserve">of the </w:t>
      </w:r>
      <w:r w:rsidR="00F11BE0" w:rsidRPr="00F101A0">
        <w:rPr>
          <w:rFonts w:ascii="Arial" w:hAnsi="Arial" w:cs="Arial"/>
          <w:kern w:val="0"/>
          <w:sz w:val="24"/>
          <w:szCs w:val="24"/>
          <w:lang w:val="en-ZA"/>
        </w:rPr>
        <w:t>Protocol</w:t>
      </w:r>
      <w:r w:rsidRPr="00F101A0">
        <w:rPr>
          <w:rFonts w:ascii="Arial" w:hAnsi="Arial" w:cs="Arial"/>
          <w:kern w:val="0"/>
          <w:sz w:val="24"/>
          <w:szCs w:val="24"/>
          <w:lang w:val="en-ZA"/>
        </w:rPr>
        <w:t xml:space="preserve"> </w:t>
      </w:r>
      <w:r w:rsidRPr="00F101A0">
        <w:rPr>
          <w:rFonts w:ascii="Arial" w:hAnsi="Arial" w:cs="Arial"/>
          <w:sz w:val="24"/>
          <w:szCs w:val="24"/>
        </w:rPr>
        <w:t>state</w:t>
      </w:r>
      <w:r w:rsidR="00607548">
        <w:rPr>
          <w:rFonts w:ascii="Arial" w:hAnsi="Arial" w:cs="Arial"/>
          <w:sz w:val="24"/>
          <w:szCs w:val="24"/>
        </w:rPr>
        <w:t>d</w:t>
      </w:r>
      <w:r w:rsidRPr="00F101A0">
        <w:rPr>
          <w:rFonts w:ascii="Arial" w:hAnsi="Arial" w:cs="Arial"/>
          <w:sz w:val="24"/>
          <w:szCs w:val="24"/>
        </w:rPr>
        <w:t xml:space="preserve"> that “</w:t>
      </w:r>
      <w:r w:rsidRPr="00607548">
        <w:rPr>
          <w:rFonts w:ascii="Arial" w:hAnsi="Arial" w:cs="Arial"/>
          <w:i/>
          <w:iCs/>
          <w:sz w:val="24"/>
          <w:szCs w:val="24"/>
        </w:rPr>
        <w:t>Members shall strive to</w:t>
      </w:r>
      <w:r w:rsidRPr="00607548">
        <w:rPr>
          <w:rFonts w:ascii="Arial" w:hAnsi="Arial" w:cs="Arial"/>
          <w:i/>
          <w:iCs/>
          <w:sz w:val="24"/>
          <w:szCs w:val="24"/>
        </w:rPr>
        <w:br/>
        <w:t>provide such assistance</w:t>
      </w:r>
      <w:r w:rsidRPr="00F101A0">
        <w:rPr>
          <w:rFonts w:ascii="Arial" w:hAnsi="Arial" w:cs="Arial"/>
          <w:sz w:val="24"/>
          <w:szCs w:val="24"/>
        </w:rPr>
        <w:t>”</w:t>
      </w:r>
      <w:r w:rsidR="00A445EC" w:rsidRPr="00F101A0">
        <w:rPr>
          <w:rFonts w:ascii="Arial" w:hAnsi="Arial" w:cs="Arial"/>
          <w:sz w:val="24"/>
          <w:szCs w:val="24"/>
        </w:rPr>
        <w:t xml:space="preserve">, </w:t>
      </w:r>
      <w:r w:rsidRPr="00F101A0">
        <w:rPr>
          <w:rFonts w:ascii="Arial" w:hAnsi="Arial" w:cs="Arial"/>
          <w:sz w:val="24"/>
          <w:szCs w:val="24"/>
        </w:rPr>
        <w:t xml:space="preserve">hence </w:t>
      </w:r>
      <w:r w:rsidR="00D76F76" w:rsidRPr="00F101A0">
        <w:rPr>
          <w:rFonts w:ascii="Arial" w:hAnsi="Arial" w:cs="Arial"/>
          <w:sz w:val="24"/>
          <w:szCs w:val="24"/>
        </w:rPr>
        <w:t xml:space="preserve">the responsibility </w:t>
      </w:r>
      <w:r w:rsidR="00607548">
        <w:rPr>
          <w:rFonts w:ascii="Arial" w:hAnsi="Arial" w:cs="Arial"/>
          <w:sz w:val="24"/>
          <w:szCs w:val="24"/>
        </w:rPr>
        <w:t>rested</w:t>
      </w:r>
      <w:r w:rsidR="00D76F76" w:rsidRPr="00F101A0">
        <w:rPr>
          <w:rFonts w:ascii="Arial" w:hAnsi="Arial" w:cs="Arial"/>
          <w:sz w:val="24"/>
          <w:szCs w:val="24"/>
        </w:rPr>
        <w:t xml:space="preserve"> with the Member States. However, it was noted that </w:t>
      </w:r>
      <w:r w:rsidR="00C51DCC" w:rsidRPr="00F101A0">
        <w:rPr>
          <w:rFonts w:ascii="Arial" w:hAnsi="Arial" w:cs="Arial"/>
          <w:sz w:val="24"/>
          <w:szCs w:val="24"/>
        </w:rPr>
        <w:t xml:space="preserve">it </w:t>
      </w:r>
      <w:r w:rsidR="00607548">
        <w:rPr>
          <w:rFonts w:ascii="Arial" w:hAnsi="Arial" w:cs="Arial"/>
          <w:sz w:val="24"/>
          <w:szCs w:val="24"/>
        </w:rPr>
        <w:t>was</w:t>
      </w:r>
      <w:r w:rsidR="00C51DCC" w:rsidRPr="00F101A0">
        <w:rPr>
          <w:rFonts w:ascii="Arial" w:hAnsi="Arial" w:cs="Arial"/>
          <w:sz w:val="24"/>
          <w:szCs w:val="24"/>
        </w:rPr>
        <w:t xml:space="preserve"> possible that </w:t>
      </w:r>
      <w:r w:rsidR="00716173" w:rsidRPr="00F101A0">
        <w:rPr>
          <w:rFonts w:ascii="Arial" w:hAnsi="Arial" w:cs="Arial"/>
          <w:sz w:val="24"/>
          <w:szCs w:val="24"/>
        </w:rPr>
        <w:t xml:space="preserve">the </w:t>
      </w:r>
      <w:r w:rsidR="003519D1" w:rsidRPr="00F101A0">
        <w:rPr>
          <w:rFonts w:ascii="Arial" w:hAnsi="Arial" w:cs="Arial"/>
          <w:sz w:val="24"/>
          <w:szCs w:val="24"/>
        </w:rPr>
        <w:t>professional</w:t>
      </w:r>
      <w:r w:rsidR="00716173" w:rsidRPr="00F101A0">
        <w:rPr>
          <w:rFonts w:ascii="Arial" w:hAnsi="Arial" w:cs="Arial"/>
          <w:sz w:val="24"/>
          <w:szCs w:val="24"/>
        </w:rPr>
        <w:t xml:space="preserve"> bodies </w:t>
      </w:r>
      <w:r w:rsidR="007F7671" w:rsidRPr="00F101A0">
        <w:rPr>
          <w:rFonts w:ascii="Arial" w:hAnsi="Arial" w:cs="Arial"/>
          <w:sz w:val="24"/>
          <w:szCs w:val="24"/>
        </w:rPr>
        <w:t xml:space="preserve">of </w:t>
      </w:r>
      <w:r w:rsidR="00716173" w:rsidRPr="00F101A0">
        <w:rPr>
          <w:rFonts w:ascii="Arial" w:hAnsi="Arial" w:cs="Arial"/>
          <w:sz w:val="24"/>
          <w:szCs w:val="24"/>
        </w:rPr>
        <w:t xml:space="preserve">State Parties </w:t>
      </w:r>
      <w:r w:rsidR="007F7671" w:rsidRPr="00F101A0">
        <w:rPr>
          <w:rFonts w:ascii="Arial" w:hAnsi="Arial" w:cs="Arial"/>
          <w:sz w:val="24"/>
          <w:szCs w:val="24"/>
        </w:rPr>
        <w:t xml:space="preserve">would </w:t>
      </w:r>
      <w:r w:rsidR="00716173" w:rsidRPr="00F101A0">
        <w:rPr>
          <w:rFonts w:ascii="Arial" w:hAnsi="Arial" w:cs="Arial"/>
          <w:sz w:val="24"/>
          <w:szCs w:val="24"/>
        </w:rPr>
        <w:t>support each other</w:t>
      </w:r>
      <w:r w:rsidR="003057CF" w:rsidRPr="00F101A0">
        <w:rPr>
          <w:rFonts w:ascii="Arial" w:hAnsi="Arial" w:cs="Arial"/>
          <w:sz w:val="24"/>
          <w:szCs w:val="24"/>
        </w:rPr>
        <w:t xml:space="preserve"> </w:t>
      </w:r>
      <w:r w:rsidR="00A54A45" w:rsidRPr="00F101A0">
        <w:rPr>
          <w:rFonts w:ascii="Arial" w:hAnsi="Arial" w:cs="Arial"/>
          <w:sz w:val="24"/>
          <w:szCs w:val="24"/>
        </w:rPr>
        <w:t xml:space="preserve">in line </w:t>
      </w:r>
      <w:r w:rsidR="00672815" w:rsidRPr="00F101A0">
        <w:rPr>
          <w:rFonts w:ascii="Arial" w:hAnsi="Arial" w:cs="Arial"/>
          <w:sz w:val="24"/>
          <w:szCs w:val="24"/>
        </w:rPr>
        <w:t>with any technical</w:t>
      </w:r>
      <w:r w:rsidR="003057CF" w:rsidRPr="00F101A0">
        <w:rPr>
          <w:rFonts w:ascii="Arial" w:hAnsi="Arial" w:cs="Arial"/>
          <w:sz w:val="24"/>
          <w:szCs w:val="24"/>
        </w:rPr>
        <w:t xml:space="preserve"> co</w:t>
      </w:r>
      <w:r w:rsidR="00A54A45" w:rsidRPr="00F101A0">
        <w:rPr>
          <w:rFonts w:ascii="Arial" w:hAnsi="Arial" w:cs="Arial"/>
          <w:sz w:val="24"/>
          <w:szCs w:val="24"/>
        </w:rPr>
        <w:t>o</w:t>
      </w:r>
      <w:r w:rsidR="003057CF" w:rsidRPr="00F101A0">
        <w:rPr>
          <w:rFonts w:ascii="Arial" w:hAnsi="Arial" w:cs="Arial"/>
          <w:sz w:val="24"/>
          <w:szCs w:val="24"/>
        </w:rPr>
        <w:t>p</w:t>
      </w:r>
      <w:r w:rsidR="00A54A45" w:rsidRPr="00F101A0">
        <w:rPr>
          <w:rFonts w:ascii="Arial" w:hAnsi="Arial" w:cs="Arial"/>
          <w:sz w:val="24"/>
          <w:szCs w:val="24"/>
        </w:rPr>
        <w:t>e</w:t>
      </w:r>
      <w:r w:rsidR="003057CF" w:rsidRPr="00F101A0">
        <w:rPr>
          <w:rFonts w:ascii="Arial" w:hAnsi="Arial" w:cs="Arial"/>
          <w:sz w:val="24"/>
          <w:szCs w:val="24"/>
        </w:rPr>
        <w:t xml:space="preserve">ration </w:t>
      </w:r>
      <w:r w:rsidR="00672815" w:rsidRPr="00F101A0">
        <w:rPr>
          <w:rFonts w:ascii="Arial" w:hAnsi="Arial" w:cs="Arial"/>
          <w:sz w:val="24"/>
          <w:szCs w:val="24"/>
        </w:rPr>
        <w:t>agreed</w:t>
      </w:r>
      <w:r w:rsidR="003057CF" w:rsidRPr="00F101A0">
        <w:rPr>
          <w:rFonts w:ascii="Arial" w:hAnsi="Arial" w:cs="Arial"/>
          <w:sz w:val="24"/>
          <w:szCs w:val="24"/>
        </w:rPr>
        <w:t xml:space="preserve"> un</w:t>
      </w:r>
      <w:r w:rsidR="00A54A45" w:rsidRPr="00F101A0">
        <w:rPr>
          <w:rFonts w:ascii="Arial" w:hAnsi="Arial" w:cs="Arial"/>
          <w:sz w:val="24"/>
          <w:szCs w:val="24"/>
        </w:rPr>
        <w:t xml:space="preserve">der the </w:t>
      </w:r>
      <w:r w:rsidR="002114F2" w:rsidRPr="00F101A0">
        <w:rPr>
          <w:rFonts w:ascii="Arial" w:hAnsi="Arial" w:cs="Arial"/>
          <w:sz w:val="24"/>
          <w:szCs w:val="24"/>
        </w:rPr>
        <w:t xml:space="preserve">sectoral or </w:t>
      </w:r>
      <w:proofErr w:type="gramStart"/>
      <w:r w:rsidR="00AF69AE" w:rsidRPr="00F101A0">
        <w:rPr>
          <w:rFonts w:ascii="Arial" w:hAnsi="Arial" w:cs="Arial"/>
          <w:sz w:val="24"/>
          <w:szCs w:val="24"/>
        </w:rPr>
        <w:t>profession</w:t>
      </w:r>
      <w:r w:rsidRPr="00F101A0">
        <w:rPr>
          <w:rFonts w:ascii="Arial" w:hAnsi="Arial" w:cs="Arial"/>
          <w:sz w:val="24"/>
          <w:szCs w:val="24"/>
        </w:rPr>
        <w:t>-</w:t>
      </w:r>
      <w:r w:rsidR="00AF69AE" w:rsidRPr="00F101A0">
        <w:rPr>
          <w:rFonts w:ascii="Arial" w:hAnsi="Arial" w:cs="Arial"/>
          <w:sz w:val="24"/>
          <w:szCs w:val="24"/>
        </w:rPr>
        <w:t>specific</w:t>
      </w:r>
      <w:proofErr w:type="gramEnd"/>
      <w:r w:rsidR="00A54A45" w:rsidRPr="00F101A0">
        <w:rPr>
          <w:rFonts w:ascii="Arial" w:hAnsi="Arial" w:cs="Arial"/>
          <w:sz w:val="24"/>
          <w:szCs w:val="24"/>
        </w:rPr>
        <w:t xml:space="preserve"> MRAs</w:t>
      </w:r>
      <w:r w:rsidR="00047647" w:rsidRPr="00F101A0">
        <w:rPr>
          <w:rFonts w:ascii="Arial" w:hAnsi="Arial" w:cs="Arial"/>
          <w:sz w:val="24"/>
          <w:szCs w:val="24"/>
        </w:rPr>
        <w:t xml:space="preserve"> in supporting LDCs to access to the MRAs</w:t>
      </w:r>
      <w:r w:rsidR="00E141BA" w:rsidRPr="00F101A0">
        <w:rPr>
          <w:rFonts w:ascii="Arial" w:hAnsi="Arial" w:cs="Arial"/>
          <w:sz w:val="24"/>
          <w:szCs w:val="24"/>
        </w:rPr>
        <w:t xml:space="preserve">. </w:t>
      </w:r>
      <w:r w:rsidRPr="00F101A0">
        <w:rPr>
          <w:rFonts w:ascii="Arial" w:hAnsi="Arial" w:cs="Arial"/>
          <w:sz w:val="24"/>
          <w:szCs w:val="24"/>
        </w:rPr>
        <w:t>Support could also be provided by the</w:t>
      </w:r>
      <w:r w:rsidR="00A426F5" w:rsidRPr="00F101A0">
        <w:rPr>
          <w:rFonts w:ascii="Arial" w:hAnsi="Arial" w:cs="Arial"/>
          <w:sz w:val="24"/>
          <w:szCs w:val="24"/>
        </w:rPr>
        <w:t xml:space="preserve"> private sector and </w:t>
      </w:r>
      <w:r w:rsidR="00AF69AE" w:rsidRPr="00F101A0">
        <w:rPr>
          <w:rFonts w:ascii="Arial" w:hAnsi="Arial" w:cs="Arial"/>
          <w:sz w:val="24"/>
          <w:szCs w:val="24"/>
        </w:rPr>
        <w:t xml:space="preserve">regional as well as </w:t>
      </w:r>
      <w:r w:rsidR="00A426F5" w:rsidRPr="00F101A0">
        <w:rPr>
          <w:rFonts w:ascii="Arial" w:hAnsi="Arial" w:cs="Arial"/>
          <w:sz w:val="24"/>
          <w:szCs w:val="24"/>
        </w:rPr>
        <w:t xml:space="preserve">international professional bodies to </w:t>
      </w:r>
      <w:r w:rsidR="00AF69AE" w:rsidRPr="00F101A0">
        <w:rPr>
          <w:rFonts w:ascii="Arial" w:hAnsi="Arial" w:cs="Arial"/>
          <w:sz w:val="24"/>
          <w:szCs w:val="24"/>
        </w:rPr>
        <w:t xml:space="preserve">assist national professional associations. </w:t>
      </w:r>
      <w:r w:rsidR="00A426F5" w:rsidRPr="00F101A0">
        <w:rPr>
          <w:rFonts w:ascii="Arial" w:hAnsi="Arial" w:cs="Arial"/>
          <w:sz w:val="24"/>
          <w:szCs w:val="24"/>
        </w:rPr>
        <w:t xml:space="preserve"> </w:t>
      </w:r>
      <w:r w:rsidR="00797C08" w:rsidRPr="00F101A0">
        <w:rPr>
          <w:rFonts w:ascii="Arial" w:hAnsi="Arial" w:cs="Arial"/>
          <w:sz w:val="24"/>
          <w:szCs w:val="24"/>
        </w:rPr>
        <w:t xml:space="preserve">This would not </w:t>
      </w:r>
      <w:r w:rsidR="001315A9" w:rsidRPr="00F101A0">
        <w:rPr>
          <w:rFonts w:ascii="Arial" w:hAnsi="Arial" w:cs="Arial"/>
          <w:sz w:val="24"/>
          <w:szCs w:val="24"/>
        </w:rPr>
        <w:t>prejudice</w:t>
      </w:r>
      <w:r w:rsidR="00797C08" w:rsidRPr="00F101A0">
        <w:rPr>
          <w:rFonts w:ascii="Arial" w:hAnsi="Arial" w:cs="Arial"/>
          <w:sz w:val="24"/>
          <w:szCs w:val="24"/>
        </w:rPr>
        <w:t xml:space="preserve"> the role </w:t>
      </w:r>
      <w:r w:rsidR="001315A9" w:rsidRPr="00F101A0">
        <w:rPr>
          <w:rFonts w:ascii="Arial" w:hAnsi="Arial" w:cs="Arial"/>
          <w:sz w:val="24"/>
          <w:szCs w:val="24"/>
        </w:rPr>
        <w:t>of</w:t>
      </w:r>
      <w:r w:rsidR="00047647" w:rsidRPr="00F101A0">
        <w:rPr>
          <w:rFonts w:ascii="Arial" w:hAnsi="Arial" w:cs="Arial"/>
          <w:sz w:val="24"/>
          <w:szCs w:val="24"/>
        </w:rPr>
        <w:t xml:space="preserve"> </w:t>
      </w:r>
      <w:r w:rsidR="00E141BA" w:rsidRPr="00F101A0">
        <w:rPr>
          <w:rFonts w:ascii="Arial" w:hAnsi="Arial" w:cs="Arial"/>
          <w:sz w:val="24"/>
          <w:szCs w:val="24"/>
        </w:rPr>
        <w:t>the Secretariat</w:t>
      </w:r>
      <w:r w:rsidR="005A7A37" w:rsidRPr="00F101A0">
        <w:rPr>
          <w:rFonts w:ascii="Arial" w:hAnsi="Arial" w:cs="Arial"/>
          <w:sz w:val="24"/>
          <w:szCs w:val="24"/>
        </w:rPr>
        <w:t xml:space="preserve"> includ</w:t>
      </w:r>
      <w:r w:rsidR="00A2706B" w:rsidRPr="00F101A0">
        <w:rPr>
          <w:rFonts w:ascii="Arial" w:hAnsi="Arial" w:cs="Arial"/>
          <w:sz w:val="24"/>
          <w:szCs w:val="24"/>
        </w:rPr>
        <w:t>ing resource mobilisation</w:t>
      </w:r>
      <w:r w:rsidR="001315A9" w:rsidRPr="00F101A0">
        <w:rPr>
          <w:rFonts w:ascii="Arial" w:hAnsi="Arial" w:cs="Arial"/>
          <w:sz w:val="24"/>
          <w:szCs w:val="24"/>
        </w:rPr>
        <w:t>,</w:t>
      </w:r>
      <w:r w:rsidR="00CC2046" w:rsidRPr="00F101A0">
        <w:rPr>
          <w:rFonts w:ascii="Arial" w:hAnsi="Arial" w:cs="Arial"/>
          <w:sz w:val="24"/>
          <w:szCs w:val="24"/>
        </w:rPr>
        <w:t xml:space="preserve"> </w:t>
      </w:r>
      <w:r w:rsidR="00797C08" w:rsidRPr="00F101A0">
        <w:rPr>
          <w:rFonts w:ascii="Arial" w:hAnsi="Arial" w:cs="Arial"/>
          <w:sz w:val="24"/>
          <w:szCs w:val="24"/>
        </w:rPr>
        <w:t>depending on type of assistance need</w:t>
      </w:r>
      <w:r w:rsidR="00AC3782" w:rsidRPr="00F101A0">
        <w:rPr>
          <w:rFonts w:ascii="Arial" w:hAnsi="Arial" w:cs="Arial"/>
          <w:sz w:val="24"/>
          <w:szCs w:val="24"/>
        </w:rPr>
        <w:t>ed</w:t>
      </w:r>
      <w:r w:rsidR="0055437E" w:rsidRPr="00F101A0">
        <w:rPr>
          <w:rFonts w:ascii="Arial" w:hAnsi="Arial" w:cs="Arial"/>
          <w:sz w:val="24"/>
          <w:szCs w:val="24"/>
        </w:rPr>
        <w:t>.</w:t>
      </w:r>
      <w:r w:rsidR="00345B3E" w:rsidRPr="00F101A0">
        <w:rPr>
          <w:rFonts w:ascii="Arial" w:hAnsi="Arial" w:cs="Arial"/>
          <w:sz w:val="24"/>
          <w:szCs w:val="24"/>
        </w:rPr>
        <w:t xml:space="preserve"> </w:t>
      </w:r>
    </w:p>
    <w:p w14:paraId="4ABBE933" w14:textId="77777777" w:rsidR="001178C9" w:rsidRPr="00F101A0" w:rsidRDefault="001178C9" w:rsidP="000953A4">
      <w:pPr>
        <w:spacing w:after="0" w:line="312" w:lineRule="auto"/>
        <w:ind w:left="851"/>
        <w:jc w:val="both"/>
        <w:rPr>
          <w:rFonts w:ascii="Arial" w:hAnsi="Arial" w:cs="Arial"/>
          <w:sz w:val="24"/>
          <w:szCs w:val="24"/>
        </w:rPr>
      </w:pPr>
    </w:p>
    <w:p w14:paraId="76ADC66B" w14:textId="74320C72" w:rsidR="005B238D" w:rsidRPr="00F101A0" w:rsidRDefault="00A3620E" w:rsidP="00F101A0">
      <w:pPr>
        <w:pStyle w:val="ListParagraph"/>
        <w:numPr>
          <w:ilvl w:val="0"/>
          <w:numId w:val="12"/>
        </w:numPr>
        <w:shd w:val="clear" w:color="auto" w:fill="D9D9D9" w:themeFill="background1" w:themeFillShade="D9"/>
        <w:spacing w:after="0" w:line="312" w:lineRule="auto"/>
        <w:ind w:left="1710" w:hanging="900"/>
        <w:jc w:val="both"/>
        <w:rPr>
          <w:rFonts w:ascii="Arial" w:hAnsi="Arial" w:cs="Arial"/>
          <w:sz w:val="24"/>
          <w:szCs w:val="24"/>
          <w:u w:val="single"/>
          <w:shd w:val="clear" w:color="auto" w:fill="D9D9D9" w:themeFill="background1" w:themeFillShade="D9"/>
        </w:rPr>
      </w:pPr>
      <w:r w:rsidRPr="00F101A0">
        <w:rPr>
          <w:rFonts w:ascii="Arial" w:hAnsi="Arial" w:cs="Arial"/>
          <w:sz w:val="24"/>
          <w:szCs w:val="24"/>
          <w:u w:val="single"/>
          <w:shd w:val="clear" w:color="auto" w:fill="D9D9D9" w:themeFill="background1" w:themeFillShade="D9"/>
        </w:rPr>
        <w:t>Conclusion</w:t>
      </w:r>
      <w:r w:rsidR="00B37FD6" w:rsidRPr="00F101A0">
        <w:rPr>
          <w:rFonts w:ascii="Arial" w:hAnsi="Arial" w:cs="Arial"/>
          <w:sz w:val="24"/>
          <w:szCs w:val="24"/>
          <w:u w:val="single"/>
          <w:shd w:val="clear" w:color="auto" w:fill="D9D9D9" w:themeFill="background1" w:themeFillShade="D9"/>
        </w:rPr>
        <w:t xml:space="preserve"> 5</w:t>
      </w:r>
      <w:r w:rsidRPr="00F101A0">
        <w:rPr>
          <w:rFonts w:ascii="Arial" w:hAnsi="Arial" w:cs="Arial"/>
          <w:sz w:val="24"/>
          <w:szCs w:val="24"/>
          <w:u w:val="single"/>
          <w:shd w:val="clear" w:color="auto" w:fill="D9D9D9" w:themeFill="background1" w:themeFillShade="D9"/>
        </w:rPr>
        <w:t>:</w:t>
      </w:r>
      <w:r w:rsidR="00B37FD6" w:rsidRPr="00F101A0">
        <w:rPr>
          <w:rFonts w:ascii="Arial" w:hAnsi="Arial" w:cs="Arial"/>
          <w:sz w:val="24"/>
          <w:szCs w:val="24"/>
          <w:u w:val="single"/>
          <w:shd w:val="clear" w:color="auto" w:fill="D9D9D9" w:themeFill="background1" w:themeFillShade="D9"/>
        </w:rPr>
        <w:t xml:space="preserve"> </w:t>
      </w:r>
      <w:r w:rsidR="005B238D" w:rsidRPr="00F101A0">
        <w:rPr>
          <w:rFonts w:ascii="Arial" w:hAnsi="Arial" w:cs="Arial"/>
          <w:sz w:val="24"/>
          <w:szCs w:val="24"/>
          <w:u w:val="single"/>
        </w:rPr>
        <w:t>Negotiating Approach [Section 3]</w:t>
      </w:r>
    </w:p>
    <w:p w14:paraId="17C167E4" w14:textId="29B00E76" w:rsidR="00FA68DF" w:rsidRPr="00F101A0" w:rsidRDefault="0039281D" w:rsidP="00F101A0">
      <w:pPr>
        <w:pStyle w:val="ListParagraph"/>
        <w:numPr>
          <w:ilvl w:val="0"/>
          <w:numId w:val="16"/>
        </w:numPr>
        <w:shd w:val="clear" w:color="auto" w:fill="D9D9D9" w:themeFill="background1" w:themeFillShade="D9"/>
        <w:spacing w:before="240" w:after="0" w:line="312" w:lineRule="auto"/>
        <w:jc w:val="both"/>
        <w:rPr>
          <w:rFonts w:ascii="Arial" w:hAnsi="Arial" w:cs="Arial"/>
          <w:sz w:val="24"/>
          <w:szCs w:val="24"/>
          <w:shd w:val="clear" w:color="auto" w:fill="D9D9D9" w:themeFill="background1" w:themeFillShade="D9"/>
        </w:rPr>
      </w:pPr>
      <w:r w:rsidRPr="00F101A0">
        <w:rPr>
          <w:rFonts w:ascii="Arial" w:hAnsi="Arial" w:cs="Arial"/>
          <w:sz w:val="24"/>
          <w:szCs w:val="24"/>
          <w:shd w:val="clear" w:color="auto" w:fill="D9D9D9" w:themeFill="background1" w:themeFillShade="D9"/>
        </w:rPr>
        <w:t>P</w:t>
      </w:r>
      <w:r w:rsidR="00AF69AE" w:rsidRPr="00F101A0">
        <w:rPr>
          <w:rFonts w:ascii="Arial" w:hAnsi="Arial" w:cs="Arial"/>
          <w:sz w:val="24"/>
          <w:szCs w:val="24"/>
          <w:shd w:val="clear" w:color="auto" w:fill="D9D9D9" w:themeFill="background1" w:themeFillShade="D9"/>
        </w:rPr>
        <w:t xml:space="preserve">aragraph 3.1 to </w:t>
      </w:r>
      <w:r w:rsidRPr="00F101A0">
        <w:rPr>
          <w:rFonts w:ascii="Arial" w:hAnsi="Arial" w:cs="Arial"/>
          <w:sz w:val="24"/>
          <w:szCs w:val="24"/>
          <w:shd w:val="clear" w:color="auto" w:fill="D9D9D9" w:themeFill="background1" w:themeFillShade="D9"/>
        </w:rPr>
        <w:t xml:space="preserve">be rephased to </w:t>
      </w:r>
      <w:r w:rsidR="00AF69AE" w:rsidRPr="00F101A0">
        <w:rPr>
          <w:rFonts w:ascii="Arial" w:hAnsi="Arial" w:cs="Arial"/>
          <w:sz w:val="24"/>
          <w:szCs w:val="24"/>
          <w:shd w:val="clear" w:color="auto" w:fill="D9D9D9" w:themeFill="background1" w:themeFillShade="D9"/>
        </w:rPr>
        <w:t xml:space="preserve">include </w:t>
      </w:r>
      <w:r w:rsidRPr="00F101A0">
        <w:rPr>
          <w:rFonts w:ascii="Arial" w:hAnsi="Arial" w:cs="Arial"/>
          <w:sz w:val="24"/>
          <w:szCs w:val="24"/>
          <w:shd w:val="clear" w:color="auto" w:fill="D9D9D9" w:themeFill="background1" w:themeFillShade="D9"/>
        </w:rPr>
        <w:t>a</w:t>
      </w:r>
      <w:r w:rsidR="000645D7" w:rsidRPr="00F101A0">
        <w:rPr>
          <w:rFonts w:ascii="Arial" w:hAnsi="Arial" w:cs="Arial"/>
          <w:sz w:val="24"/>
          <w:szCs w:val="24"/>
          <w:shd w:val="clear" w:color="auto" w:fill="D9D9D9" w:themeFill="background1" w:themeFillShade="D9"/>
        </w:rPr>
        <w:t xml:space="preserve"> list of professional services as provide</w:t>
      </w:r>
      <w:r w:rsidR="00B441BF" w:rsidRPr="00F101A0">
        <w:rPr>
          <w:rFonts w:ascii="Arial" w:hAnsi="Arial" w:cs="Arial"/>
          <w:sz w:val="24"/>
          <w:szCs w:val="24"/>
          <w:shd w:val="clear" w:color="auto" w:fill="D9D9D9" w:themeFill="background1" w:themeFillShade="D9"/>
        </w:rPr>
        <w:t>d</w:t>
      </w:r>
      <w:r w:rsidR="000645D7" w:rsidRPr="00F101A0">
        <w:rPr>
          <w:rFonts w:ascii="Arial" w:hAnsi="Arial" w:cs="Arial"/>
          <w:sz w:val="24"/>
          <w:szCs w:val="24"/>
          <w:shd w:val="clear" w:color="auto" w:fill="D9D9D9" w:themeFill="background1" w:themeFillShade="D9"/>
        </w:rPr>
        <w:t xml:space="preserve"> for in the W/120 Services List</w:t>
      </w:r>
      <w:r w:rsidR="003E7F47" w:rsidRPr="00F101A0">
        <w:rPr>
          <w:rFonts w:ascii="Arial" w:hAnsi="Arial" w:cs="Arial"/>
          <w:sz w:val="24"/>
          <w:szCs w:val="24"/>
          <w:shd w:val="clear" w:color="auto" w:fill="D9D9D9" w:themeFill="background1" w:themeFillShade="D9"/>
        </w:rPr>
        <w:t xml:space="preserve">, and </w:t>
      </w:r>
    </w:p>
    <w:p w14:paraId="03C9A3C1" w14:textId="2D25AF37" w:rsidR="001658A2" w:rsidRPr="00F101A0" w:rsidRDefault="00FA68DF" w:rsidP="00F101A0">
      <w:pPr>
        <w:pStyle w:val="ListParagraph"/>
        <w:numPr>
          <w:ilvl w:val="0"/>
          <w:numId w:val="16"/>
        </w:numPr>
        <w:shd w:val="clear" w:color="auto" w:fill="D9D9D9" w:themeFill="background1" w:themeFillShade="D9"/>
        <w:spacing w:before="240" w:after="0" w:line="312" w:lineRule="auto"/>
        <w:jc w:val="both"/>
        <w:rPr>
          <w:rFonts w:ascii="Arial" w:hAnsi="Arial" w:cs="Arial"/>
          <w:sz w:val="24"/>
          <w:szCs w:val="24"/>
          <w:shd w:val="clear" w:color="auto" w:fill="D9D9D9" w:themeFill="background1" w:themeFillShade="D9"/>
        </w:rPr>
      </w:pPr>
      <w:r w:rsidRPr="00F101A0">
        <w:rPr>
          <w:rFonts w:ascii="Arial" w:hAnsi="Arial" w:cs="Arial"/>
          <w:sz w:val="24"/>
          <w:szCs w:val="24"/>
          <w:shd w:val="clear" w:color="auto" w:fill="D9D9D9" w:themeFill="background1" w:themeFillShade="D9"/>
        </w:rPr>
        <w:lastRenderedPageBreak/>
        <w:t>Delete the word “</w:t>
      </w:r>
      <w:r w:rsidRPr="00F101A0">
        <w:rPr>
          <w:rFonts w:ascii="Arial" w:hAnsi="Arial" w:cs="Arial"/>
          <w:i/>
          <w:iCs/>
          <w:sz w:val="24"/>
          <w:szCs w:val="24"/>
          <w:shd w:val="clear" w:color="auto" w:fill="D9D9D9" w:themeFill="background1" w:themeFillShade="D9"/>
        </w:rPr>
        <w:t>strive</w:t>
      </w:r>
      <w:r w:rsidR="004E380C" w:rsidRPr="00F101A0">
        <w:rPr>
          <w:rFonts w:ascii="Arial" w:hAnsi="Arial" w:cs="Arial"/>
          <w:i/>
          <w:iCs/>
          <w:sz w:val="24"/>
          <w:szCs w:val="24"/>
          <w:shd w:val="clear" w:color="auto" w:fill="D9D9D9" w:themeFill="background1" w:themeFillShade="D9"/>
        </w:rPr>
        <w:t xml:space="preserve"> to</w:t>
      </w:r>
      <w:r w:rsidRPr="00F101A0">
        <w:rPr>
          <w:rFonts w:ascii="Arial" w:hAnsi="Arial" w:cs="Arial"/>
          <w:sz w:val="24"/>
          <w:szCs w:val="24"/>
          <w:shd w:val="clear" w:color="auto" w:fill="D9D9D9" w:themeFill="background1" w:themeFillShade="D9"/>
        </w:rPr>
        <w:t xml:space="preserve">” appearing between </w:t>
      </w:r>
      <w:r w:rsidR="00834D4F" w:rsidRPr="00F101A0">
        <w:rPr>
          <w:rFonts w:ascii="Arial" w:hAnsi="Arial" w:cs="Arial"/>
          <w:sz w:val="24"/>
          <w:szCs w:val="24"/>
          <w:shd w:val="clear" w:color="auto" w:fill="D9D9D9" w:themeFill="background1" w:themeFillShade="D9"/>
        </w:rPr>
        <w:t xml:space="preserve">“… </w:t>
      </w:r>
      <w:r w:rsidR="00834D4F" w:rsidRPr="00607548">
        <w:rPr>
          <w:rFonts w:ascii="Arial" w:hAnsi="Arial" w:cs="Arial"/>
          <w:i/>
          <w:iCs/>
          <w:sz w:val="24"/>
          <w:szCs w:val="24"/>
          <w:shd w:val="clear" w:color="auto" w:fill="D9D9D9" w:themeFill="background1" w:themeFillShade="D9"/>
        </w:rPr>
        <w:t>Parties shall</w:t>
      </w:r>
      <w:r w:rsidR="004A24D5" w:rsidRPr="00F101A0">
        <w:rPr>
          <w:rFonts w:ascii="Arial" w:hAnsi="Arial" w:cs="Arial"/>
          <w:sz w:val="24"/>
          <w:szCs w:val="24"/>
          <w:shd w:val="clear" w:color="auto" w:fill="D9D9D9" w:themeFill="background1" w:themeFillShade="D9"/>
        </w:rPr>
        <w:t xml:space="preserve">” and </w:t>
      </w:r>
      <w:r w:rsidR="004E380C" w:rsidRPr="00F101A0">
        <w:rPr>
          <w:rFonts w:ascii="Arial" w:hAnsi="Arial" w:cs="Arial"/>
          <w:sz w:val="24"/>
          <w:szCs w:val="24"/>
          <w:shd w:val="clear" w:color="auto" w:fill="D9D9D9" w:themeFill="background1" w:themeFillShade="D9"/>
        </w:rPr>
        <w:t>“</w:t>
      </w:r>
      <w:r w:rsidR="004E380C" w:rsidRPr="00607548">
        <w:rPr>
          <w:rFonts w:ascii="Arial" w:hAnsi="Arial" w:cs="Arial"/>
          <w:i/>
          <w:iCs/>
          <w:sz w:val="24"/>
          <w:szCs w:val="24"/>
          <w:shd w:val="clear" w:color="auto" w:fill="D9D9D9" w:themeFill="background1" w:themeFillShade="D9"/>
        </w:rPr>
        <w:t>provide</w:t>
      </w:r>
      <w:r w:rsidR="00834D4F" w:rsidRPr="00607548">
        <w:rPr>
          <w:rFonts w:ascii="Arial" w:hAnsi="Arial" w:cs="Arial"/>
          <w:i/>
          <w:iCs/>
          <w:sz w:val="24"/>
          <w:szCs w:val="24"/>
          <w:shd w:val="clear" w:color="auto" w:fill="D9D9D9" w:themeFill="background1" w:themeFillShade="D9"/>
        </w:rPr>
        <w:t xml:space="preserve"> technical assistance</w:t>
      </w:r>
      <w:r w:rsidR="004E380C" w:rsidRPr="00F101A0">
        <w:rPr>
          <w:rFonts w:ascii="Arial" w:hAnsi="Arial" w:cs="Arial"/>
          <w:sz w:val="24"/>
          <w:szCs w:val="24"/>
          <w:shd w:val="clear" w:color="auto" w:fill="D9D9D9" w:themeFill="background1" w:themeFillShade="D9"/>
        </w:rPr>
        <w:t xml:space="preserve"> …</w:t>
      </w:r>
      <w:r w:rsidR="004A24D5" w:rsidRPr="00F101A0">
        <w:rPr>
          <w:rFonts w:ascii="Arial" w:hAnsi="Arial" w:cs="Arial"/>
          <w:sz w:val="24"/>
          <w:szCs w:val="24"/>
          <w:shd w:val="clear" w:color="auto" w:fill="D9D9D9" w:themeFill="background1" w:themeFillShade="D9"/>
        </w:rPr>
        <w:t>” in para</w:t>
      </w:r>
      <w:r w:rsidR="004E380C" w:rsidRPr="00F101A0">
        <w:rPr>
          <w:rFonts w:ascii="Arial" w:hAnsi="Arial" w:cs="Arial"/>
          <w:sz w:val="24"/>
          <w:szCs w:val="24"/>
          <w:shd w:val="clear" w:color="auto" w:fill="D9D9D9" w:themeFill="background1" w:themeFillShade="D9"/>
        </w:rPr>
        <w:t>graph 3.</w:t>
      </w:r>
      <w:r w:rsidR="00C4341E" w:rsidRPr="00F101A0">
        <w:rPr>
          <w:rFonts w:ascii="Arial" w:hAnsi="Arial" w:cs="Arial"/>
          <w:sz w:val="24"/>
          <w:szCs w:val="24"/>
          <w:shd w:val="clear" w:color="auto" w:fill="D9D9D9" w:themeFill="background1" w:themeFillShade="D9"/>
        </w:rPr>
        <w:t>3</w:t>
      </w:r>
      <w:r w:rsidR="001658A2" w:rsidRPr="00F101A0">
        <w:rPr>
          <w:rFonts w:ascii="Arial" w:hAnsi="Arial" w:cs="Arial"/>
          <w:sz w:val="24"/>
          <w:szCs w:val="24"/>
          <w:shd w:val="clear" w:color="auto" w:fill="D9D9D9" w:themeFill="background1" w:themeFillShade="D9"/>
        </w:rPr>
        <w:t xml:space="preserve">.                                    </w:t>
      </w:r>
    </w:p>
    <w:p w14:paraId="36AC64CD" w14:textId="403B6114" w:rsidR="00832C8A" w:rsidRPr="00F101A0" w:rsidRDefault="00832C8A" w:rsidP="00F101A0">
      <w:pPr>
        <w:pStyle w:val="ListParagraph"/>
        <w:numPr>
          <w:ilvl w:val="2"/>
          <w:numId w:val="1"/>
        </w:numPr>
        <w:spacing w:before="240"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Priority Professional Fields for MRA</w:t>
      </w:r>
      <w:r w:rsidRPr="00F101A0">
        <w:rPr>
          <w:rFonts w:ascii="Arial Bold" w:hAnsi="Arial Bold" w:cs="Arial"/>
          <w:b/>
          <w:bCs/>
          <w:sz w:val="24"/>
          <w:szCs w:val="24"/>
        </w:rPr>
        <w:t>s</w:t>
      </w:r>
      <w:r w:rsidR="007F504A" w:rsidRPr="00F101A0">
        <w:rPr>
          <w:rFonts w:ascii="Arial Bold" w:hAnsi="Arial Bold" w:cs="Arial"/>
          <w:b/>
          <w:bCs/>
          <w:caps/>
          <w:sz w:val="24"/>
          <w:szCs w:val="24"/>
        </w:rPr>
        <w:t xml:space="preserve"> [Section 4]</w:t>
      </w:r>
    </w:p>
    <w:p w14:paraId="3C066352" w14:textId="05103D1F" w:rsidR="0093070C" w:rsidRPr="00F101A0" w:rsidRDefault="00F653EB" w:rsidP="00F101A0">
      <w:pPr>
        <w:pStyle w:val="ListParagraph"/>
        <w:numPr>
          <w:ilvl w:val="0"/>
          <w:numId w:val="15"/>
        </w:numPr>
        <w:spacing w:before="240" w:after="0" w:line="312" w:lineRule="auto"/>
        <w:ind w:hanging="761"/>
        <w:jc w:val="both"/>
        <w:rPr>
          <w:rFonts w:ascii="Arial" w:hAnsi="Arial" w:cs="Arial"/>
          <w:b/>
          <w:bCs/>
          <w:sz w:val="24"/>
          <w:szCs w:val="24"/>
        </w:rPr>
      </w:pPr>
      <w:r w:rsidRPr="00F101A0">
        <w:rPr>
          <w:rFonts w:ascii="Arial" w:hAnsi="Arial" w:cs="Arial"/>
          <w:b/>
          <w:bCs/>
          <w:sz w:val="24"/>
          <w:szCs w:val="24"/>
        </w:rPr>
        <w:t>Paragraph</w:t>
      </w:r>
      <w:r w:rsidR="00086C17" w:rsidRPr="00F101A0">
        <w:rPr>
          <w:rFonts w:ascii="Arial" w:hAnsi="Arial" w:cs="Arial"/>
          <w:b/>
          <w:bCs/>
          <w:sz w:val="24"/>
          <w:szCs w:val="24"/>
        </w:rPr>
        <w:t>s</w:t>
      </w:r>
      <w:r w:rsidRPr="00F101A0">
        <w:rPr>
          <w:rFonts w:ascii="Arial" w:hAnsi="Arial" w:cs="Arial"/>
          <w:b/>
          <w:bCs/>
          <w:sz w:val="24"/>
          <w:szCs w:val="24"/>
        </w:rPr>
        <w:t xml:space="preserve"> </w:t>
      </w:r>
      <w:r w:rsidR="004025EB" w:rsidRPr="00F101A0">
        <w:rPr>
          <w:rFonts w:ascii="Arial" w:hAnsi="Arial" w:cs="Arial"/>
          <w:b/>
          <w:bCs/>
          <w:sz w:val="24"/>
          <w:szCs w:val="24"/>
        </w:rPr>
        <w:t>4.1</w:t>
      </w:r>
      <w:r w:rsidR="00086C17" w:rsidRPr="00F101A0">
        <w:rPr>
          <w:rFonts w:ascii="Arial" w:hAnsi="Arial" w:cs="Arial"/>
          <w:b/>
          <w:bCs/>
          <w:sz w:val="24"/>
          <w:szCs w:val="24"/>
        </w:rPr>
        <w:t>(a) and 4.1(b)</w:t>
      </w:r>
    </w:p>
    <w:p w14:paraId="250AFF6A" w14:textId="248BFCFF" w:rsidR="00A6604D" w:rsidRPr="00F101A0" w:rsidRDefault="001C19F6" w:rsidP="00F101A0">
      <w:pPr>
        <w:spacing w:before="240" w:after="0" w:line="312" w:lineRule="auto"/>
        <w:ind w:left="1620"/>
        <w:jc w:val="both"/>
        <w:rPr>
          <w:rFonts w:ascii="Arial" w:hAnsi="Arial" w:cs="Arial"/>
          <w:sz w:val="24"/>
          <w:szCs w:val="24"/>
        </w:rPr>
      </w:pPr>
      <w:r w:rsidRPr="00F101A0">
        <w:rPr>
          <w:rFonts w:ascii="Arial" w:hAnsi="Arial" w:cs="Arial"/>
          <w:sz w:val="24"/>
          <w:szCs w:val="24"/>
        </w:rPr>
        <w:t xml:space="preserve">It was noted that </w:t>
      </w:r>
      <w:r w:rsidR="00F06D77" w:rsidRPr="00F101A0">
        <w:rPr>
          <w:rFonts w:ascii="Arial" w:hAnsi="Arial" w:cs="Arial"/>
          <w:sz w:val="24"/>
          <w:szCs w:val="24"/>
        </w:rPr>
        <w:t xml:space="preserve">paragraph </w:t>
      </w:r>
      <w:r w:rsidRPr="00F101A0">
        <w:rPr>
          <w:rFonts w:ascii="Arial" w:hAnsi="Arial" w:cs="Arial"/>
          <w:sz w:val="24"/>
          <w:szCs w:val="24"/>
        </w:rPr>
        <w:t>4</w:t>
      </w:r>
      <w:r w:rsidR="00B76B77" w:rsidRPr="00F101A0">
        <w:rPr>
          <w:rFonts w:ascii="Arial" w:hAnsi="Arial" w:cs="Arial"/>
          <w:sz w:val="24"/>
          <w:szCs w:val="24"/>
        </w:rPr>
        <w:t xml:space="preserve"> </w:t>
      </w:r>
      <w:r w:rsidR="008A0F4D" w:rsidRPr="00F101A0">
        <w:rPr>
          <w:rFonts w:ascii="Arial" w:hAnsi="Arial" w:cs="Arial"/>
          <w:sz w:val="24"/>
          <w:szCs w:val="24"/>
        </w:rPr>
        <w:t xml:space="preserve">included the need to </w:t>
      </w:r>
      <w:r w:rsidRPr="00F101A0">
        <w:rPr>
          <w:rFonts w:ascii="Arial" w:hAnsi="Arial" w:cs="Arial"/>
          <w:sz w:val="24"/>
          <w:szCs w:val="24"/>
        </w:rPr>
        <w:t>obtain</w:t>
      </w:r>
      <w:r w:rsidR="008A0F4D" w:rsidRPr="00F101A0">
        <w:rPr>
          <w:rFonts w:ascii="Arial" w:hAnsi="Arial" w:cs="Arial"/>
          <w:sz w:val="24"/>
          <w:szCs w:val="24"/>
        </w:rPr>
        <w:t xml:space="preserve"> input from stakeholders</w:t>
      </w:r>
      <w:r w:rsidR="00385FE3" w:rsidRPr="00F101A0">
        <w:rPr>
          <w:rFonts w:ascii="Arial" w:hAnsi="Arial" w:cs="Arial"/>
          <w:sz w:val="24"/>
          <w:szCs w:val="24"/>
        </w:rPr>
        <w:t xml:space="preserve"> including the SADC Business Council</w:t>
      </w:r>
      <w:r w:rsidRPr="00F101A0">
        <w:rPr>
          <w:rFonts w:ascii="Arial" w:hAnsi="Arial" w:cs="Arial"/>
          <w:sz w:val="24"/>
          <w:szCs w:val="24"/>
        </w:rPr>
        <w:t>.  However</w:t>
      </w:r>
      <w:r w:rsidR="008A0F4D" w:rsidRPr="00F101A0">
        <w:rPr>
          <w:rFonts w:ascii="Arial" w:hAnsi="Arial" w:cs="Arial"/>
          <w:sz w:val="24"/>
          <w:szCs w:val="24"/>
        </w:rPr>
        <w:t xml:space="preserve">, </w:t>
      </w:r>
      <w:r w:rsidR="004267F2" w:rsidRPr="00F101A0">
        <w:rPr>
          <w:rFonts w:ascii="Arial" w:hAnsi="Arial" w:cs="Arial"/>
          <w:sz w:val="24"/>
          <w:szCs w:val="24"/>
        </w:rPr>
        <w:t xml:space="preserve">Member States </w:t>
      </w:r>
      <w:r w:rsidR="007B190D" w:rsidRPr="00F101A0">
        <w:rPr>
          <w:rFonts w:ascii="Arial" w:hAnsi="Arial" w:cs="Arial"/>
          <w:sz w:val="24"/>
          <w:szCs w:val="24"/>
        </w:rPr>
        <w:t>had divergent view</w:t>
      </w:r>
      <w:r w:rsidR="00B441BF" w:rsidRPr="00F101A0">
        <w:rPr>
          <w:rFonts w:ascii="Arial" w:hAnsi="Arial" w:cs="Arial"/>
          <w:sz w:val="24"/>
          <w:szCs w:val="24"/>
        </w:rPr>
        <w:t>s</w:t>
      </w:r>
      <w:r w:rsidR="007B190D" w:rsidRPr="00F101A0">
        <w:rPr>
          <w:rFonts w:ascii="Arial" w:hAnsi="Arial" w:cs="Arial"/>
          <w:sz w:val="24"/>
          <w:szCs w:val="24"/>
        </w:rPr>
        <w:t xml:space="preserve"> on whether </w:t>
      </w:r>
      <w:r w:rsidR="005E1101" w:rsidRPr="00F101A0">
        <w:rPr>
          <w:rFonts w:ascii="Arial" w:hAnsi="Arial" w:cs="Arial"/>
          <w:sz w:val="24"/>
          <w:szCs w:val="24"/>
        </w:rPr>
        <w:t>the Council ha</w:t>
      </w:r>
      <w:r w:rsidR="00B441BF" w:rsidRPr="00F101A0">
        <w:rPr>
          <w:rFonts w:ascii="Arial" w:hAnsi="Arial" w:cs="Arial"/>
          <w:sz w:val="24"/>
          <w:szCs w:val="24"/>
        </w:rPr>
        <w:t>d</w:t>
      </w:r>
      <w:r w:rsidR="005E1101" w:rsidRPr="00F101A0">
        <w:rPr>
          <w:rFonts w:ascii="Arial" w:hAnsi="Arial" w:cs="Arial"/>
          <w:sz w:val="24"/>
          <w:szCs w:val="24"/>
        </w:rPr>
        <w:t xml:space="preserve"> </w:t>
      </w:r>
      <w:r w:rsidR="00AC1A3A" w:rsidRPr="00F101A0">
        <w:rPr>
          <w:rFonts w:ascii="Arial" w:hAnsi="Arial" w:cs="Arial"/>
          <w:sz w:val="24"/>
          <w:szCs w:val="24"/>
        </w:rPr>
        <w:t>the capacity to articulate</w:t>
      </w:r>
      <w:r w:rsidR="00637537" w:rsidRPr="00F101A0">
        <w:rPr>
          <w:rFonts w:ascii="Arial" w:hAnsi="Arial" w:cs="Arial"/>
          <w:sz w:val="24"/>
          <w:szCs w:val="24"/>
        </w:rPr>
        <w:t>, champion and tak</w:t>
      </w:r>
      <w:r w:rsidR="00B441BF" w:rsidRPr="00F101A0">
        <w:rPr>
          <w:rFonts w:ascii="Arial" w:hAnsi="Arial" w:cs="Arial"/>
          <w:sz w:val="24"/>
          <w:szCs w:val="24"/>
        </w:rPr>
        <w:t>e the</w:t>
      </w:r>
      <w:r w:rsidR="00637537" w:rsidRPr="00F101A0">
        <w:rPr>
          <w:rFonts w:ascii="Arial" w:hAnsi="Arial" w:cs="Arial"/>
          <w:sz w:val="24"/>
          <w:szCs w:val="24"/>
        </w:rPr>
        <w:t xml:space="preserve"> </w:t>
      </w:r>
      <w:r w:rsidR="000354F1" w:rsidRPr="00F101A0">
        <w:rPr>
          <w:rFonts w:ascii="Arial" w:hAnsi="Arial" w:cs="Arial"/>
          <w:sz w:val="24"/>
          <w:szCs w:val="24"/>
        </w:rPr>
        <w:t xml:space="preserve">lead </w:t>
      </w:r>
      <w:r w:rsidR="00B441BF" w:rsidRPr="00F101A0">
        <w:rPr>
          <w:rFonts w:ascii="Arial" w:hAnsi="Arial" w:cs="Arial"/>
          <w:sz w:val="24"/>
          <w:szCs w:val="24"/>
        </w:rPr>
        <w:t>in</w:t>
      </w:r>
      <w:r w:rsidR="00637537" w:rsidRPr="00F101A0">
        <w:rPr>
          <w:rFonts w:ascii="Arial" w:hAnsi="Arial" w:cs="Arial"/>
          <w:sz w:val="24"/>
          <w:szCs w:val="24"/>
        </w:rPr>
        <w:t xml:space="preserve"> </w:t>
      </w:r>
      <w:r w:rsidR="005E1101" w:rsidRPr="00F101A0">
        <w:rPr>
          <w:rFonts w:ascii="Arial" w:hAnsi="Arial" w:cs="Arial"/>
          <w:sz w:val="24"/>
          <w:szCs w:val="24"/>
        </w:rPr>
        <w:t>identifying</w:t>
      </w:r>
      <w:r w:rsidR="000354F1" w:rsidRPr="00F101A0">
        <w:rPr>
          <w:rFonts w:ascii="Arial" w:hAnsi="Arial" w:cs="Arial"/>
          <w:sz w:val="24"/>
          <w:szCs w:val="24"/>
        </w:rPr>
        <w:t xml:space="preserve"> priorities for MRAs</w:t>
      </w:r>
      <w:r w:rsidR="007B190D" w:rsidRPr="00F101A0">
        <w:rPr>
          <w:rFonts w:ascii="Arial" w:hAnsi="Arial" w:cs="Arial"/>
          <w:sz w:val="24"/>
          <w:szCs w:val="24"/>
        </w:rPr>
        <w:t xml:space="preserve"> </w:t>
      </w:r>
      <w:r w:rsidR="00607548">
        <w:rPr>
          <w:rFonts w:ascii="Arial" w:hAnsi="Arial" w:cs="Arial"/>
          <w:sz w:val="24"/>
          <w:szCs w:val="24"/>
        </w:rPr>
        <w:t>rather than</w:t>
      </w:r>
      <w:r w:rsidR="007B190D" w:rsidRPr="00F101A0">
        <w:rPr>
          <w:rFonts w:ascii="Arial" w:hAnsi="Arial" w:cs="Arial"/>
          <w:sz w:val="24"/>
          <w:szCs w:val="24"/>
        </w:rPr>
        <w:t xml:space="preserve"> </w:t>
      </w:r>
      <w:r w:rsidR="005E1101" w:rsidRPr="00F101A0">
        <w:rPr>
          <w:rFonts w:ascii="Arial" w:hAnsi="Arial" w:cs="Arial"/>
          <w:sz w:val="24"/>
          <w:szCs w:val="24"/>
        </w:rPr>
        <w:t>professional bodies</w:t>
      </w:r>
      <w:r w:rsidR="0034789F" w:rsidRPr="00F101A0">
        <w:rPr>
          <w:rFonts w:ascii="Arial" w:hAnsi="Arial" w:cs="Arial"/>
          <w:sz w:val="24"/>
          <w:szCs w:val="24"/>
        </w:rPr>
        <w:t>,</w:t>
      </w:r>
      <w:r w:rsidR="00A50576" w:rsidRPr="00F101A0">
        <w:rPr>
          <w:rFonts w:ascii="Arial" w:hAnsi="Arial" w:cs="Arial"/>
          <w:sz w:val="24"/>
          <w:szCs w:val="24"/>
        </w:rPr>
        <w:t xml:space="preserve"> and </w:t>
      </w:r>
      <w:r w:rsidR="00552ED9">
        <w:rPr>
          <w:rFonts w:ascii="Arial" w:hAnsi="Arial" w:cs="Arial"/>
          <w:sz w:val="24"/>
          <w:szCs w:val="24"/>
        </w:rPr>
        <w:t>to identify</w:t>
      </w:r>
      <w:r w:rsidR="0026220C" w:rsidRPr="00F101A0">
        <w:rPr>
          <w:rFonts w:ascii="Arial" w:hAnsi="Arial" w:cs="Arial"/>
          <w:sz w:val="24"/>
          <w:szCs w:val="24"/>
        </w:rPr>
        <w:t xml:space="preserve"> possible barriers to professional services</w:t>
      </w:r>
      <w:r w:rsidR="00DA4A46" w:rsidRPr="00F101A0">
        <w:rPr>
          <w:rFonts w:ascii="Arial" w:hAnsi="Arial" w:cs="Arial"/>
          <w:sz w:val="24"/>
          <w:szCs w:val="24"/>
        </w:rPr>
        <w:t>.</w:t>
      </w:r>
      <w:r w:rsidR="00C9131F" w:rsidRPr="00F101A0">
        <w:rPr>
          <w:rFonts w:ascii="Arial" w:hAnsi="Arial" w:cs="Arial"/>
          <w:sz w:val="24"/>
          <w:szCs w:val="24"/>
        </w:rPr>
        <w:t xml:space="preserve"> </w:t>
      </w:r>
      <w:r w:rsidR="00B76B77" w:rsidRPr="00F101A0">
        <w:rPr>
          <w:rFonts w:ascii="Arial" w:hAnsi="Arial" w:cs="Arial"/>
          <w:sz w:val="24"/>
          <w:szCs w:val="24"/>
        </w:rPr>
        <w:t xml:space="preserve">Member States </w:t>
      </w:r>
      <w:r w:rsidRPr="00F101A0">
        <w:rPr>
          <w:rFonts w:ascii="Arial" w:hAnsi="Arial" w:cs="Arial"/>
          <w:sz w:val="24"/>
          <w:szCs w:val="24"/>
        </w:rPr>
        <w:t xml:space="preserve">also </w:t>
      </w:r>
      <w:r w:rsidR="00DC0B21" w:rsidRPr="00F101A0">
        <w:rPr>
          <w:rFonts w:ascii="Arial" w:hAnsi="Arial" w:cs="Arial"/>
          <w:sz w:val="24"/>
          <w:szCs w:val="24"/>
        </w:rPr>
        <w:t xml:space="preserve">noted that paragraph 4 </w:t>
      </w:r>
      <w:r w:rsidR="00B441BF" w:rsidRPr="00F101A0">
        <w:rPr>
          <w:rFonts w:ascii="Arial" w:hAnsi="Arial" w:cs="Arial"/>
          <w:sz w:val="24"/>
          <w:szCs w:val="24"/>
        </w:rPr>
        <w:t>was</w:t>
      </w:r>
      <w:r w:rsidR="00DD0AFE" w:rsidRPr="00F101A0">
        <w:rPr>
          <w:rFonts w:ascii="Arial" w:hAnsi="Arial" w:cs="Arial"/>
          <w:sz w:val="24"/>
          <w:szCs w:val="24"/>
        </w:rPr>
        <w:t xml:space="preserve"> drafted </w:t>
      </w:r>
      <w:r w:rsidRPr="00F101A0">
        <w:rPr>
          <w:rFonts w:ascii="Arial" w:hAnsi="Arial" w:cs="Arial"/>
          <w:sz w:val="24"/>
          <w:szCs w:val="24"/>
        </w:rPr>
        <w:t>recognising</w:t>
      </w:r>
      <w:r w:rsidR="00DC0B21" w:rsidRPr="00F101A0">
        <w:rPr>
          <w:rFonts w:ascii="Arial" w:hAnsi="Arial" w:cs="Arial"/>
          <w:sz w:val="24"/>
          <w:szCs w:val="24"/>
        </w:rPr>
        <w:t xml:space="preserve"> that State Parties may not have the capacity to negotiat</w:t>
      </w:r>
      <w:r w:rsidR="00B441BF" w:rsidRPr="00F101A0">
        <w:rPr>
          <w:rFonts w:ascii="Arial" w:hAnsi="Arial" w:cs="Arial"/>
          <w:sz w:val="24"/>
          <w:szCs w:val="24"/>
        </w:rPr>
        <w:t>e</w:t>
      </w:r>
      <w:r w:rsidR="00DC0B21" w:rsidRPr="00F101A0">
        <w:rPr>
          <w:rFonts w:ascii="Arial" w:hAnsi="Arial" w:cs="Arial"/>
          <w:sz w:val="24"/>
          <w:szCs w:val="24"/>
        </w:rPr>
        <w:t xml:space="preserve"> all sectoral or </w:t>
      </w:r>
      <w:proofErr w:type="gramStart"/>
      <w:r w:rsidR="00DC0B21" w:rsidRPr="00F101A0">
        <w:rPr>
          <w:rFonts w:ascii="Arial" w:hAnsi="Arial" w:cs="Arial"/>
          <w:sz w:val="24"/>
          <w:szCs w:val="24"/>
        </w:rPr>
        <w:t>profession</w:t>
      </w:r>
      <w:r w:rsidR="00B441BF" w:rsidRPr="00F101A0">
        <w:rPr>
          <w:rFonts w:ascii="Arial" w:hAnsi="Arial" w:cs="Arial"/>
          <w:sz w:val="24"/>
          <w:szCs w:val="24"/>
        </w:rPr>
        <w:t>-</w:t>
      </w:r>
      <w:r w:rsidR="00DC0B21" w:rsidRPr="00F101A0">
        <w:rPr>
          <w:rFonts w:ascii="Arial" w:hAnsi="Arial" w:cs="Arial"/>
          <w:sz w:val="24"/>
          <w:szCs w:val="24"/>
        </w:rPr>
        <w:t>specific</w:t>
      </w:r>
      <w:proofErr w:type="gramEnd"/>
      <w:r w:rsidR="00DC0B21" w:rsidRPr="00F101A0">
        <w:rPr>
          <w:rFonts w:ascii="Arial" w:hAnsi="Arial" w:cs="Arial"/>
          <w:sz w:val="24"/>
          <w:szCs w:val="24"/>
        </w:rPr>
        <w:t xml:space="preserve"> MRAs in parallel</w:t>
      </w:r>
      <w:r w:rsidR="00AD7B32" w:rsidRPr="00F101A0">
        <w:rPr>
          <w:rFonts w:ascii="Arial" w:hAnsi="Arial" w:cs="Arial"/>
          <w:sz w:val="24"/>
          <w:szCs w:val="24"/>
        </w:rPr>
        <w:t xml:space="preserve">. </w:t>
      </w:r>
      <w:r w:rsidRPr="00F101A0">
        <w:rPr>
          <w:rFonts w:ascii="Arial" w:hAnsi="Arial" w:cs="Arial"/>
          <w:sz w:val="24"/>
          <w:szCs w:val="24"/>
        </w:rPr>
        <w:t>There was therefore a</w:t>
      </w:r>
      <w:r w:rsidR="00DC0B21" w:rsidRPr="00F101A0">
        <w:rPr>
          <w:rFonts w:ascii="Arial" w:hAnsi="Arial" w:cs="Arial"/>
          <w:sz w:val="24"/>
          <w:szCs w:val="24"/>
        </w:rPr>
        <w:t xml:space="preserve"> need </w:t>
      </w:r>
      <w:r w:rsidR="00FE3640" w:rsidRPr="00F101A0">
        <w:rPr>
          <w:rFonts w:ascii="Arial" w:hAnsi="Arial" w:cs="Arial"/>
          <w:sz w:val="24"/>
          <w:szCs w:val="24"/>
        </w:rPr>
        <w:t xml:space="preserve">for State </w:t>
      </w:r>
      <w:r w:rsidR="003209C3" w:rsidRPr="00F101A0">
        <w:rPr>
          <w:rFonts w:ascii="Arial" w:hAnsi="Arial" w:cs="Arial"/>
          <w:sz w:val="24"/>
          <w:szCs w:val="24"/>
        </w:rPr>
        <w:t xml:space="preserve">Parties </w:t>
      </w:r>
      <w:r w:rsidR="00DC0B21" w:rsidRPr="00F101A0">
        <w:rPr>
          <w:rFonts w:ascii="Arial" w:hAnsi="Arial" w:cs="Arial"/>
          <w:sz w:val="24"/>
          <w:szCs w:val="24"/>
        </w:rPr>
        <w:t xml:space="preserve">to </w:t>
      </w:r>
      <w:r w:rsidR="00AD7B32" w:rsidRPr="00F101A0">
        <w:rPr>
          <w:rFonts w:ascii="Arial" w:hAnsi="Arial" w:cs="Arial"/>
          <w:sz w:val="24"/>
          <w:szCs w:val="24"/>
        </w:rPr>
        <w:t xml:space="preserve">prioritise </w:t>
      </w:r>
      <w:r w:rsidRPr="00F101A0">
        <w:rPr>
          <w:rFonts w:ascii="Arial" w:hAnsi="Arial" w:cs="Arial"/>
          <w:sz w:val="24"/>
          <w:szCs w:val="24"/>
        </w:rPr>
        <w:t xml:space="preserve">the MRA </w:t>
      </w:r>
      <w:r w:rsidR="003209C3" w:rsidRPr="00F101A0">
        <w:rPr>
          <w:rFonts w:ascii="Arial" w:hAnsi="Arial" w:cs="Arial"/>
          <w:sz w:val="24"/>
          <w:szCs w:val="24"/>
        </w:rPr>
        <w:t>negotiations</w:t>
      </w:r>
      <w:r w:rsidR="00870D2D" w:rsidRPr="00F101A0">
        <w:rPr>
          <w:rFonts w:ascii="Arial" w:hAnsi="Arial" w:cs="Arial"/>
          <w:sz w:val="24"/>
          <w:szCs w:val="24"/>
        </w:rPr>
        <w:t xml:space="preserve">. The </w:t>
      </w:r>
      <w:r w:rsidR="00816BEB" w:rsidRPr="00F101A0">
        <w:rPr>
          <w:rFonts w:ascii="Arial" w:hAnsi="Arial" w:cs="Arial"/>
          <w:sz w:val="24"/>
          <w:szCs w:val="24"/>
        </w:rPr>
        <w:t xml:space="preserve">selection of priority professional sectors </w:t>
      </w:r>
      <w:r w:rsidRPr="00F101A0">
        <w:rPr>
          <w:rFonts w:ascii="Arial" w:hAnsi="Arial" w:cs="Arial"/>
          <w:sz w:val="24"/>
          <w:szCs w:val="24"/>
        </w:rPr>
        <w:t xml:space="preserve">needed </w:t>
      </w:r>
      <w:r w:rsidR="00816BEB" w:rsidRPr="00F101A0">
        <w:rPr>
          <w:rFonts w:ascii="Arial" w:hAnsi="Arial" w:cs="Arial"/>
          <w:sz w:val="24"/>
          <w:szCs w:val="24"/>
        </w:rPr>
        <w:t xml:space="preserve">to be </w:t>
      </w:r>
      <w:r w:rsidRPr="00F101A0">
        <w:rPr>
          <w:rFonts w:ascii="Arial" w:hAnsi="Arial" w:cs="Arial"/>
          <w:sz w:val="24"/>
          <w:szCs w:val="24"/>
        </w:rPr>
        <w:t xml:space="preserve">based on </w:t>
      </w:r>
      <w:r w:rsidR="00DC0B21" w:rsidRPr="00F101A0">
        <w:rPr>
          <w:rFonts w:ascii="Arial" w:hAnsi="Arial" w:cs="Arial"/>
          <w:sz w:val="24"/>
          <w:szCs w:val="24"/>
        </w:rPr>
        <w:t>agree</w:t>
      </w:r>
      <w:r w:rsidRPr="00F101A0">
        <w:rPr>
          <w:rFonts w:ascii="Arial" w:hAnsi="Arial" w:cs="Arial"/>
          <w:sz w:val="24"/>
          <w:szCs w:val="24"/>
        </w:rPr>
        <w:t>d</w:t>
      </w:r>
      <w:r w:rsidR="00DC0B21" w:rsidRPr="00F101A0">
        <w:rPr>
          <w:rFonts w:ascii="Arial" w:hAnsi="Arial" w:cs="Arial"/>
          <w:sz w:val="24"/>
          <w:szCs w:val="24"/>
        </w:rPr>
        <w:t xml:space="preserve"> criteria, with input from all key stakeholders. </w:t>
      </w:r>
    </w:p>
    <w:p w14:paraId="01076620" w14:textId="2C0C0268" w:rsidR="00106938" w:rsidRPr="00F101A0" w:rsidRDefault="00374975" w:rsidP="00F101A0">
      <w:pPr>
        <w:spacing w:before="240" w:after="0" w:line="312" w:lineRule="auto"/>
        <w:ind w:left="1620"/>
        <w:jc w:val="both"/>
        <w:rPr>
          <w:rFonts w:ascii="Arial" w:hAnsi="Arial" w:cs="Arial"/>
          <w:sz w:val="24"/>
          <w:szCs w:val="24"/>
        </w:rPr>
      </w:pPr>
      <w:r w:rsidRPr="00F101A0">
        <w:rPr>
          <w:rFonts w:ascii="Arial" w:hAnsi="Arial" w:cs="Arial"/>
          <w:sz w:val="24"/>
          <w:szCs w:val="24"/>
        </w:rPr>
        <w:t xml:space="preserve">In this regard, </w:t>
      </w:r>
      <w:r w:rsidR="00614E62" w:rsidRPr="00F101A0">
        <w:rPr>
          <w:rFonts w:ascii="Arial" w:hAnsi="Arial" w:cs="Arial"/>
          <w:sz w:val="24"/>
          <w:szCs w:val="24"/>
        </w:rPr>
        <w:t>Member States stated that TNF-</w:t>
      </w:r>
      <w:r w:rsidR="004B4F46" w:rsidRPr="00F101A0">
        <w:rPr>
          <w:rFonts w:ascii="Arial" w:hAnsi="Arial" w:cs="Arial"/>
          <w:sz w:val="24"/>
          <w:szCs w:val="24"/>
        </w:rPr>
        <w:t>S</w:t>
      </w:r>
      <w:r w:rsidR="00614E62" w:rsidRPr="00F101A0">
        <w:rPr>
          <w:rFonts w:ascii="Arial" w:hAnsi="Arial" w:cs="Arial"/>
          <w:sz w:val="24"/>
          <w:szCs w:val="24"/>
        </w:rPr>
        <w:t xml:space="preserve">ervices </w:t>
      </w:r>
      <w:r w:rsidR="001C19F6" w:rsidRPr="00F101A0">
        <w:rPr>
          <w:rFonts w:ascii="Arial" w:hAnsi="Arial" w:cs="Arial"/>
          <w:sz w:val="24"/>
          <w:szCs w:val="24"/>
        </w:rPr>
        <w:t>should</w:t>
      </w:r>
      <w:r w:rsidR="004B4F46" w:rsidRPr="00F101A0">
        <w:rPr>
          <w:rFonts w:ascii="Arial" w:hAnsi="Arial" w:cs="Arial"/>
          <w:sz w:val="24"/>
          <w:szCs w:val="24"/>
        </w:rPr>
        <w:t xml:space="preserve"> </w:t>
      </w:r>
      <w:r w:rsidR="004F1737" w:rsidRPr="00F101A0">
        <w:rPr>
          <w:rFonts w:ascii="Arial" w:hAnsi="Arial" w:cs="Arial"/>
          <w:sz w:val="24"/>
          <w:szCs w:val="24"/>
        </w:rPr>
        <w:t xml:space="preserve">decide </w:t>
      </w:r>
      <w:r w:rsidR="006D55EF" w:rsidRPr="00F101A0">
        <w:rPr>
          <w:rFonts w:ascii="Arial" w:hAnsi="Arial" w:cs="Arial"/>
          <w:sz w:val="24"/>
          <w:szCs w:val="24"/>
        </w:rPr>
        <w:t xml:space="preserve">on </w:t>
      </w:r>
      <w:r w:rsidR="004B4F46" w:rsidRPr="00F101A0">
        <w:rPr>
          <w:rFonts w:ascii="Arial" w:hAnsi="Arial" w:cs="Arial"/>
          <w:sz w:val="24"/>
          <w:szCs w:val="24"/>
        </w:rPr>
        <w:t>the prioritised professional services sectors</w:t>
      </w:r>
      <w:r w:rsidR="00BC43D8" w:rsidRPr="00F101A0">
        <w:rPr>
          <w:rFonts w:ascii="Arial" w:hAnsi="Arial" w:cs="Arial"/>
          <w:sz w:val="24"/>
          <w:szCs w:val="24"/>
        </w:rPr>
        <w:t xml:space="preserve"> and </w:t>
      </w:r>
      <w:r w:rsidR="00737F54" w:rsidRPr="00F101A0">
        <w:rPr>
          <w:rFonts w:ascii="Arial" w:hAnsi="Arial" w:cs="Arial"/>
          <w:sz w:val="24"/>
          <w:szCs w:val="24"/>
        </w:rPr>
        <w:t>suggest</w:t>
      </w:r>
      <w:r w:rsidR="001C19F6" w:rsidRPr="00F101A0">
        <w:rPr>
          <w:rFonts w:ascii="Arial" w:hAnsi="Arial" w:cs="Arial"/>
          <w:sz w:val="24"/>
          <w:szCs w:val="24"/>
        </w:rPr>
        <w:t>ed</w:t>
      </w:r>
      <w:r w:rsidR="00737F54" w:rsidRPr="00F101A0">
        <w:rPr>
          <w:rFonts w:ascii="Arial" w:hAnsi="Arial" w:cs="Arial"/>
          <w:sz w:val="24"/>
          <w:szCs w:val="24"/>
        </w:rPr>
        <w:t xml:space="preserve"> rephrasing </w:t>
      </w:r>
      <w:r w:rsidR="001C19F6" w:rsidRPr="00F101A0">
        <w:rPr>
          <w:rFonts w:ascii="Arial" w:hAnsi="Arial" w:cs="Arial"/>
          <w:sz w:val="24"/>
          <w:szCs w:val="24"/>
        </w:rPr>
        <w:t xml:space="preserve">the </w:t>
      </w:r>
      <w:r w:rsidR="00737F54" w:rsidRPr="00F101A0">
        <w:rPr>
          <w:rFonts w:ascii="Arial" w:hAnsi="Arial" w:cs="Arial"/>
          <w:sz w:val="24"/>
          <w:szCs w:val="24"/>
        </w:rPr>
        <w:t xml:space="preserve">paragraph </w:t>
      </w:r>
      <w:r w:rsidR="00334EF8" w:rsidRPr="00F101A0">
        <w:rPr>
          <w:rFonts w:ascii="Arial" w:hAnsi="Arial" w:cs="Arial"/>
          <w:sz w:val="24"/>
          <w:szCs w:val="24"/>
        </w:rPr>
        <w:t xml:space="preserve">to reflect </w:t>
      </w:r>
      <w:r w:rsidR="00285F18" w:rsidRPr="00F101A0">
        <w:rPr>
          <w:rFonts w:ascii="Arial" w:hAnsi="Arial" w:cs="Arial"/>
          <w:sz w:val="24"/>
          <w:szCs w:val="24"/>
        </w:rPr>
        <w:t xml:space="preserve">the criteria </w:t>
      </w:r>
      <w:r w:rsidR="001C19F6" w:rsidRPr="00F101A0">
        <w:rPr>
          <w:rFonts w:ascii="Arial" w:hAnsi="Arial" w:cs="Arial"/>
          <w:sz w:val="24"/>
          <w:szCs w:val="24"/>
        </w:rPr>
        <w:t xml:space="preserve">to be applied </w:t>
      </w:r>
      <w:r w:rsidR="00285F18" w:rsidRPr="00F101A0">
        <w:rPr>
          <w:rFonts w:ascii="Arial" w:hAnsi="Arial" w:cs="Arial"/>
          <w:sz w:val="24"/>
          <w:szCs w:val="24"/>
        </w:rPr>
        <w:t xml:space="preserve">and need for such criteria to be informed by </w:t>
      </w:r>
      <w:r w:rsidR="00552ED9">
        <w:rPr>
          <w:rFonts w:ascii="Arial" w:hAnsi="Arial" w:cs="Arial"/>
          <w:sz w:val="24"/>
          <w:szCs w:val="24"/>
        </w:rPr>
        <w:t xml:space="preserve">the </w:t>
      </w:r>
      <w:r w:rsidR="00285F18" w:rsidRPr="00F101A0">
        <w:rPr>
          <w:rFonts w:ascii="Arial" w:hAnsi="Arial" w:cs="Arial"/>
          <w:sz w:val="24"/>
          <w:szCs w:val="24"/>
        </w:rPr>
        <w:t>interest</w:t>
      </w:r>
      <w:r w:rsidR="001C19F6" w:rsidRPr="00F101A0">
        <w:rPr>
          <w:rFonts w:ascii="Arial" w:hAnsi="Arial" w:cs="Arial"/>
          <w:sz w:val="24"/>
          <w:szCs w:val="24"/>
        </w:rPr>
        <w:t>s</w:t>
      </w:r>
      <w:r w:rsidR="00285F18" w:rsidRPr="00F101A0">
        <w:rPr>
          <w:rFonts w:ascii="Arial" w:hAnsi="Arial" w:cs="Arial"/>
          <w:sz w:val="24"/>
          <w:szCs w:val="24"/>
        </w:rPr>
        <w:t xml:space="preserve"> of all stakeholders. </w:t>
      </w:r>
    </w:p>
    <w:p w14:paraId="7F25656C" w14:textId="4EEB0870" w:rsidR="006B2BA8" w:rsidRPr="00F101A0" w:rsidRDefault="006B2BA8" w:rsidP="00F101A0">
      <w:pPr>
        <w:pStyle w:val="ListParagraph"/>
        <w:numPr>
          <w:ilvl w:val="0"/>
          <w:numId w:val="7"/>
        </w:numPr>
        <w:shd w:val="clear" w:color="auto" w:fill="D9D9D9" w:themeFill="background1" w:themeFillShade="D9"/>
        <w:spacing w:before="240" w:after="0" w:line="312" w:lineRule="auto"/>
        <w:ind w:left="1701" w:hanging="850"/>
        <w:jc w:val="both"/>
        <w:rPr>
          <w:rFonts w:ascii="Arial" w:hAnsi="Arial" w:cs="Arial"/>
          <w:sz w:val="24"/>
          <w:szCs w:val="24"/>
          <w:u w:val="single"/>
        </w:rPr>
      </w:pPr>
      <w:r w:rsidRPr="00F101A0">
        <w:rPr>
          <w:rFonts w:ascii="Arial" w:hAnsi="Arial" w:cs="Arial"/>
          <w:sz w:val="24"/>
          <w:szCs w:val="24"/>
          <w:u w:val="single"/>
        </w:rPr>
        <w:t>Conclusion</w:t>
      </w:r>
      <w:r w:rsidR="00495FAA" w:rsidRPr="00F101A0">
        <w:rPr>
          <w:rFonts w:ascii="Arial" w:hAnsi="Arial" w:cs="Arial"/>
          <w:sz w:val="24"/>
          <w:szCs w:val="24"/>
          <w:u w:val="single"/>
        </w:rPr>
        <w:t xml:space="preserve"> 6</w:t>
      </w:r>
      <w:r w:rsidRPr="00F101A0">
        <w:rPr>
          <w:rFonts w:ascii="Arial" w:hAnsi="Arial" w:cs="Arial"/>
          <w:sz w:val="24"/>
          <w:szCs w:val="24"/>
          <w:u w:val="single"/>
        </w:rPr>
        <w:t>:</w:t>
      </w:r>
      <w:r w:rsidR="00AC78FF" w:rsidRPr="00F101A0">
        <w:rPr>
          <w:rFonts w:ascii="Arial" w:hAnsi="Arial" w:cs="Arial"/>
          <w:sz w:val="24"/>
          <w:szCs w:val="24"/>
          <w:u w:val="single"/>
        </w:rPr>
        <w:t xml:space="preserve"> Priority Professional Fields for MRAs [Section 4]</w:t>
      </w:r>
    </w:p>
    <w:p w14:paraId="4F531292" w14:textId="33EE0C06" w:rsidR="00A6604D" w:rsidRPr="00F101A0" w:rsidRDefault="009836EF" w:rsidP="00F101A0">
      <w:pPr>
        <w:pStyle w:val="ListParagraph"/>
        <w:numPr>
          <w:ilvl w:val="0"/>
          <w:numId w:val="19"/>
        </w:numPr>
        <w:shd w:val="clear" w:color="auto" w:fill="D9D9D9" w:themeFill="background1" w:themeFillShade="D9"/>
        <w:spacing w:before="240" w:after="0" w:line="312" w:lineRule="auto"/>
        <w:ind w:left="2520" w:hanging="630"/>
        <w:jc w:val="both"/>
        <w:rPr>
          <w:rFonts w:ascii="Arial" w:hAnsi="Arial" w:cs="Arial"/>
          <w:sz w:val="24"/>
          <w:szCs w:val="24"/>
        </w:rPr>
      </w:pPr>
      <w:r w:rsidRPr="00F101A0">
        <w:rPr>
          <w:rFonts w:ascii="Arial" w:hAnsi="Arial" w:cs="Arial"/>
          <w:sz w:val="24"/>
          <w:szCs w:val="24"/>
        </w:rPr>
        <w:t>Add the words “</w:t>
      </w:r>
      <w:r w:rsidRPr="00552ED9">
        <w:rPr>
          <w:rFonts w:ascii="Arial" w:hAnsi="Arial" w:cs="Arial"/>
          <w:i/>
          <w:iCs/>
          <w:sz w:val="24"/>
          <w:szCs w:val="24"/>
        </w:rPr>
        <w:t>by considering</w:t>
      </w:r>
      <w:r w:rsidRPr="00F101A0">
        <w:rPr>
          <w:rFonts w:ascii="Arial" w:hAnsi="Arial" w:cs="Arial"/>
          <w:sz w:val="24"/>
          <w:szCs w:val="24"/>
        </w:rPr>
        <w:t>” at the end of the chapeau</w:t>
      </w:r>
      <w:r w:rsidR="00A6604D" w:rsidRPr="00F101A0">
        <w:rPr>
          <w:rFonts w:ascii="Arial" w:hAnsi="Arial" w:cs="Arial"/>
          <w:sz w:val="24"/>
          <w:szCs w:val="24"/>
        </w:rPr>
        <w:t xml:space="preserve"> </w:t>
      </w:r>
      <w:r w:rsidRPr="00F101A0">
        <w:rPr>
          <w:rFonts w:ascii="Arial" w:hAnsi="Arial" w:cs="Arial"/>
          <w:sz w:val="24"/>
          <w:szCs w:val="24"/>
        </w:rPr>
        <w:t xml:space="preserve">of paragraph </w:t>
      </w:r>
      <w:proofErr w:type="gramStart"/>
      <w:r w:rsidRPr="00F101A0">
        <w:rPr>
          <w:rFonts w:ascii="Arial" w:hAnsi="Arial" w:cs="Arial"/>
          <w:sz w:val="24"/>
          <w:szCs w:val="24"/>
        </w:rPr>
        <w:t>4</w:t>
      </w:r>
      <w:r w:rsidR="001C19F6" w:rsidRPr="00F101A0">
        <w:rPr>
          <w:rFonts w:ascii="Arial" w:hAnsi="Arial" w:cs="Arial"/>
          <w:sz w:val="24"/>
          <w:szCs w:val="24"/>
        </w:rPr>
        <w:t>;</w:t>
      </w:r>
      <w:proofErr w:type="gramEnd"/>
    </w:p>
    <w:p w14:paraId="28BC9929" w14:textId="0E1D386E" w:rsidR="00B07E69" w:rsidRPr="00F101A0" w:rsidRDefault="00B07E69" w:rsidP="00F101A0">
      <w:pPr>
        <w:pStyle w:val="ListParagraph"/>
        <w:numPr>
          <w:ilvl w:val="0"/>
          <w:numId w:val="19"/>
        </w:numPr>
        <w:shd w:val="clear" w:color="auto" w:fill="D9D9D9" w:themeFill="background1" w:themeFillShade="D9"/>
        <w:spacing w:before="240" w:after="0" w:line="312" w:lineRule="auto"/>
        <w:ind w:left="2520" w:hanging="630"/>
        <w:jc w:val="both"/>
        <w:rPr>
          <w:rFonts w:ascii="Arial" w:hAnsi="Arial" w:cs="Arial"/>
          <w:sz w:val="24"/>
          <w:szCs w:val="24"/>
        </w:rPr>
      </w:pPr>
      <w:r w:rsidRPr="00F101A0">
        <w:rPr>
          <w:rFonts w:ascii="Arial" w:hAnsi="Arial" w:cs="Arial"/>
          <w:sz w:val="24"/>
          <w:szCs w:val="24"/>
        </w:rPr>
        <w:t xml:space="preserve">rephrase the entire </w:t>
      </w:r>
      <w:r w:rsidR="00513E02" w:rsidRPr="00F101A0">
        <w:rPr>
          <w:rFonts w:ascii="Arial" w:hAnsi="Arial" w:cs="Arial"/>
          <w:sz w:val="24"/>
          <w:szCs w:val="24"/>
        </w:rPr>
        <w:t>paragraph</w:t>
      </w:r>
      <w:r w:rsidRPr="00F101A0">
        <w:rPr>
          <w:rFonts w:ascii="Arial" w:hAnsi="Arial" w:cs="Arial"/>
          <w:sz w:val="24"/>
          <w:szCs w:val="24"/>
        </w:rPr>
        <w:t xml:space="preserve"> 4</w:t>
      </w:r>
      <w:r w:rsidR="00552ED9">
        <w:rPr>
          <w:rFonts w:ascii="Arial" w:hAnsi="Arial" w:cs="Arial"/>
          <w:sz w:val="24"/>
          <w:szCs w:val="24"/>
        </w:rPr>
        <w:t>.1</w:t>
      </w:r>
      <w:r w:rsidRPr="00F101A0">
        <w:rPr>
          <w:rFonts w:ascii="Arial" w:hAnsi="Arial" w:cs="Arial"/>
          <w:sz w:val="24"/>
          <w:szCs w:val="24"/>
        </w:rPr>
        <w:t>(a) to read: “</w:t>
      </w:r>
      <w:r w:rsidRPr="00552ED9">
        <w:rPr>
          <w:rFonts w:ascii="Arial" w:hAnsi="Arial" w:cs="Arial"/>
          <w:i/>
          <w:iCs/>
          <w:sz w:val="24"/>
          <w:szCs w:val="24"/>
        </w:rPr>
        <w:t>liberalisation commitments by State Parties under the Part IV of the Protocol</w:t>
      </w:r>
      <w:r w:rsidRPr="00F101A0">
        <w:rPr>
          <w:rFonts w:ascii="Arial" w:hAnsi="Arial" w:cs="Arial"/>
          <w:sz w:val="24"/>
          <w:szCs w:val="24"/>
        </w:rPr>
        <w:t>”;</w:t>
      </w:r>
      <w:r w:rsidR="00E44049" w:rsidRPr="00F101A0">
        <w:rPr>
          <w:rFonts w:ascii="Arial" w:hAnsi="Arial" w:cs="Arial"/>
          <w:sz w:val="24"/>
          <w:szCs w:val="24"/>
        </w:rPr>
        <w:t xml:space="preserve"> and </w:t>
      </w:r>
    </w:p>
    <w:p w14:paraId="49F3835D" w14:textId="133779A4" w:rsidR="00CC1B77" w:rsidRPr="00F101A0" w:rsidRDefault="00B07E69" w:rsidP="00F101A0">
      <w:pPr>
        <w:pStyle w:val="ListParagraph"/>
        <w:numPr>
          <w:ilvl w:val="0"/>
          <w:numId w:val="19"/>
        </w:numPr>
        <w:shd w:val="clear" w:color="auto" w:fill="D9D9D9" w:themeFill="background1" w:themeFillShade="D9"/>
        <w:spacing w:before="240" w:after="0" w:line="312" w:lineRule="auto"/>
        <w:ind w:left="2520" w:hanging="630"/>
        <w:jc w:val="both"/>
        <w:rPr>
          <w:rFonts w:ascii="Arial" w:hAnsi="Arial" w:cs="Arial"/>
          <w:sz w:val="24"/>
          <w:szCs w:val="24"/>
        </w:rPr>
      </w:pPr>
      <w:r w:rsidRPr="00F101A0">
        <w:rPr>
          <w:rFonts w:ascii="Arial" w:hAnsi="Arial" w:cs="Arial"/>
          <w:sz w:val="24"/>
          <w:szCs w:val="24"/>
        </w:rPr>
        <w:t>rephrase paragraph 4.</w:t>
      </w:r>
      <w:r w:rsidR="00552ED9">
        <w:rPr>
          <w:rFonts w:ascii="Arial" w:hAnsi="Arial" w:cs="Arial"/>
          <w:sz w:val="24"/>
          <w:szCs w:val="24"/>
        </w:rPr>
        <w:t>1</w:t>
      </w:r>
      <w:r w:rsidRPr="00F101A0">
        <w:rPr>
          <w:rFonts w:ascii="Arial" w:hAnsi="Arial" w:cs="Arial"/>
          <w:sz w:val="24"/>
          <w:szCs w:val="24"/>
        </w:rPr>
        <w:t>(b) to read: “</w:t>
      </w:r>
      <w:r w:rsidRPr="00552ED9">
        <w:rPr>
          <w:rFonts w:ascii="Arial" w:hAnsi="Arial" w:cs="Arial"/>
          <w:i/>
          <w:iCs/>
          <w:sz w:val="24"/>
          <w:szCs w:val="24"/>
        </w:rPr>
        <w:t>inputs received from national and regional professional stakeholders, including the SADC Business Council</w:t>
      </w:r>
      <w:r w:rsidR="00E44049" w:rsidRPr="00F101A0">
        <w:rPr>
          <w:rFonts w:ascii="Arial" w:hAnsi="Arial" w:cs="Arial"/>
          <w:sz w:val="24"/>
          <w:szCs w:val="24"/>
        </w:rPr>
        <w:t>.</w:t>
      </w:r>
      <w:r w:rsidRPr="00F101A0">
        <w:rPr>
          <w:rFonts w:ascii="Arial" w:hAnsi="Arial" w:cs="Arial"/>
          <w:sz w:val="24"/>
          <w:szCs w:val="24"/>
        </w:rPr>
        <w:t>”</w:t>
      </w:r>
      <w:r w:rsidR="0091235D" w:rsidRPr="00F101A0">
        <w:rPr>
          <w:rFonts w:ascii="Arial" w:hAnsi="Arial" w:cs="Arial"/>
          <w:sz w:val="24"/>
          <w:szCs w:val="24"/>
        </w:rPr>
        <w:t xml:space="preserve"> </w:t>
      </w:r>
    </w:p>
    <w:p w14:paraId="6E89D860" w14:textId="0FFCC0BC" w:rsidR="007F504A" w:rsidRPr="00F101A0" w:rsidRDefault="00944E8D" w:rsidP="00F101A0">
      <w:pPr>
        <w:pStyle w:val="ListParagraph"/>
        <w:numPr>
          <w:ilvl w:val="2"/>
          <w:numId w:val="1"/>
        </w:numPr>
        <w:spacing w:before="240"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 xml:space="preserve">Starting Point </w:t>
      </w:r>
      <w:r w:rsidR="009A6B25" w:rsidRPr="00F101A0">
        <w:rPr>
          <w:rFonts w:ascii="Arial Bold" w:hAnsi="Arial Bold" w:cs="Arial"/>
          <w:b/>
          <w:bCs/>
          <w:caps/>
          <w:sz w:val="24"/>
          <w:szCs w:val="24"/>
        </w:rPr>
        <w:t>[Section 5]</w:t>
      </w:r>
    </w:p>
    <w:p w14:paraId="7ACA0751" w14:textId="646446B7" w:rsidR="00F35226" w:rsidRPr="00F101A0" w:rsidRDefault="00E21B16" w:rsidP="00330971">
      <w:pPr>
        <w:pStyle w:val="ListParagraph"/>
        <w:numPr>
          <w:ilvl w:val="0"/>
          <w:numId w:val="20"/>
        </w:numPr>
        <w:spacing w:before="240" w:after="0" w:line="312" w:lineRule="auto"/>
        <w:ind w:left="1620" w:hanging="851"/>
        <w:jc w:val="both"/>
        <w:rPr>
          <w:rFonts w:ascii="Arial" w:hAnsi="Arial" w:cs="Arial"/>
          <w:sz w:val="24"/>
          <w:szCs w:val="24"/>
        </w:rPr>
      </w:pPr>
      <w:r w:rsidRPr="00F101A0">
        <w:rPr>
          <w:rFonts w:ascii="Arial" w:hAnsi="Arial" w:cs="Arial"/>
          <w:b/>
          <w:bCs/>
          <w:sz w:val="24"/>
          <w:szCs w:val="24"/>
        </w:rPr>
        <w:t>Paragraph 5.1</w:t>
      </w:r>
      <w:r w:rsidR="00325D5D" w:rsidRPr="00F101A0">
        <w:rPr>
          <w:rFonts w:ascii="Arial" w:hAnsi="Arial" w:cs="Arial"/>
          <w:sz w:val="24"/>
          <w:szCs w:val="24"/>
        </w:rPr>
        <w:t xml:space="preserve"> </w:t>
      </w:r>
      <w:r w:rsidR="001C19F6" w:rsidRPr="00F101A0">
        <w:rPr>
          <w:rFonts w:ascii="Arial" w:hAnsi="Arial" w:cs="Arial"/>
          <w:sz w:val="24"/>
          <w:szCs w:val="24"/>
        </w:rPr>
        <w:t>– M</w:t>
      </w:r>
      <w:r w:rsidR="007634B8" w:rsidRPr="00F101A0">
        <w:rPr>
          <w:rFonts w:ascii="Arial" w:hAnsi="Arial" w:cs="Arial"/>
          <w:sz w:val="24"/>
          <w:szCs w:val="24"/>
        </w:rPr>
        <w:t xml:space="preserve">ember States </w:t>
      </w:r>
      <w:r w:rsidR="00EB411F" w:rsidRPr="00F101A0">
        <w:rPr>
          <w:rFonts w:ascii="Arial" w:hAnsi="Arial" w:cs="Arial"/>
          <w:sz w:val="24"/>
          <w:szCs w:val="24"/>
        </w:rPr>
        <w:t xml:space="preserve">corrected </w:t>
      </w:r>
      <w:r w:rsidR="0031177D" w:rsidRPr="00F101A0">
        <w:rPr>
          <w:rFonts w:ascii="Arial" w:hAnsi="Arial" w:cs="Arial"/>
          <w:sz w:val="24"/>
          <w:szCs w:val="24"/>
        </w:rPr>
        <w:t>a minor</w:t>
      </w:r>
      <w:r w:rsidR="00EB411F" w:rsidRPr="00F101A0">
        <w:rPr>
          <w:rFonts w:ascii="Arial" w:hAnsi="Arial" w:cs="Arial"/>
          <w:sz w:val="24"/>
          <w:szCs w:val="24"/>
        </w:rPr>
        <w:t xml:space="preserve"> typo</w:t>
      </w:r>
      <w:r w:rsidR="001C19F6" w:rsidRPr="00F101A0">
        <w:rPr>
          <w:rFonts w:ascii="Arial" w:hAnsi="Arial" w:cs="Arial"/>
          <w:sz w:val="24"/>
          <w:szCs w:val="24"/>
        </w:rPr>
        <w:t>graphical</w:t>
      </w:r>
      <w:r w:rsidR="00EB411F" w:rsidRPr="00F101A0">
        <w:rPr>
          <w:rFonts w:ascii="Arial" w:hAnsi="Arial" w:cs="Arial"/>
          <w:sz w:val="24"/>
          <w:szCs w:val="24"/>
        </w:rPr>
        <w:t xml:space="preserve"> error</w:t>
      </w:r>
      <w:r w:rsidR="00DA256F">
        <w:rPr>
          <w:rFonts w:ascii="Arial" w:hAnsi="Arial" w:cs="Arial"/>
          <w:sz w:val="24"/>
          <w:szCs w:val="24"/>
        </w:rPr>
        <w:t xml:space="preserve">. </w:t>
      </w:r>
    </w:p>
    <w:p w14:paraId="00569524" w14:textId="7AB7585D" w:rsidR="00C65FFF" w:rsidRPr="00F101A0" w:rsidRDefault="00F35226" w:rsidP="00F101A0">
      <w:pPr>
        <w:pStyle w:val="ListParagraph"/>
        <w:numPr>
          <w:ilvl w:val="0"/>
          <w:numId w:val="20"/>
        </w:numPr>
        <w:spacing w:before="240" w:after="0" w:line="312" w:lineRule="auto"/>
        <w:ind w:left="1620" w:hanging="851"/>
        <w:jc w:val="both"/>
        <w:rPr>
          <w:rFonts w:ascii="Arial" w:hAnsi="Arial" w:cs="Arial"/>
          <w:sz w:val="24"/>
          <w:szCs w:val="24"/>
        </w:rPr>
      </w:pPr>
      <w:r w:rsidRPr="00F101A0">
        <w:rPr>
          <w:rFonts w:ascii="Arial" w:hAnsi="Arial" w:cs="Arial"/>
          <w:b/>
          <w:bCs/>
          <w:sz w:val="24"/>
          <w:szCs w:val="24"/>
        </w:rPr>
        <w:t>Paragraph 5.2</w:t>
      </w:r>
      <w:r w:rsidRPr="00F101A0">
        <w:rPr>
          <w:rFonts w:ascii="Arial" w:hAnsi="Arial" w:cs="Arial"/>
          <w:sz w:val="24"/>
          <w:szCs w:val="24"/>
        </w:rPr>
        <w:t xml:space="preserve"> – </w:t>
      </w:r>
      <w:r w:rsidR="00C37209" w:rsidRPr="00F101A0">
        <w:rPr>
          <w:rFonts w:ascii="Arial" w:hAnsi="Arial" w:cs="Arial"/>
          <w:sz w:val="24"/>
          <w:szCs w:val="24"/>
        </w:rPr>
        <w:t xml:space="preserve">The meeting was informed that </w:t>
      </w:r>
      <w:r w:rsidR="00FF7970" w:rsidRPr="00F101A0">
        <w:rPr>
          <w:rFonts w:ascii="Arial" w:hAnsi="Arial" w:cs="Arial"/>
          <w:sz w:val="24"/>
          <w:szCs w:val="24"/>
        </w:rPr>
        <w:t xml:space="preserve">the </w:t>
      </w:r>
      <w:r w:rsidR="007B15F4" w:rsidRPr="00F101A0">
        <w:rPr>
          <w:rFonts w:ascii="Arial" w:hAnsi="Arial" w:cs="Arial"/>
          <w:sz w:val="24"/>
          <w:szCs w:val="24"/>
        </w:rPr>
        <w:t>S</w:t>
      </w:r>
      <w:r w:rsidR="00FF7970" w:rsidRPr="00F101A0">
        <w:rPr>
          <w:rFonts w:ascii="Arial" w:hAnsi="Arial" w:cs="Arial"/>
          <w:sz w:val="24"/>
          <w:szCs w:val="24"/>
        </w:rPr>
        <w:t>ecretariat had rephrase</w:t>
      </w:r>
      <w:r w:rsidR="0031177D" w:rsidRPr="00F101A0">
        <w:rPr>
          <w:rFonts w:ascii="Arial" w:hAnsi="Arial" w:cs="Arial"/>
          <w:sz w:val="24"/>
          <w:szCs w:val="24"/>
        </w:rPr>
        <w:t>d</w:t>
      </w:r>
      <w:r w:rsidR="00FF7970" w:rsidRPr="00F101A0">
        <w:rPr>
          <w:rFonts w:ascii="Arial" w:hAnsi="Arial" w:cs="Arial"/>
          <w:sz w:val="24"/>
          <w:szCs w:val="24"/>
        </w:rPr>
        <w:t xml:space="preserve"> this paragraph </w:t>
      </w:r>
      <w:proofErr w:type="gramStart"/>
      <w:r w:rsidR="00552ED9">
        <w:rPr>
          <w:rFonts w:ascii="Arial" w:hAnsi="Arial" w:cs="Arial"/>
          <w:sz w:val="24"/>
          <w:szCs w:val="24"/>
        </w:rPr>
        <w:t>taking into account</w:t>
      </w:r>
      <w:proofErr w:type="gramEnd"/>
      <w:r w:rsidR="00FF7970" w:rsidRPr="00F101A0">
        <w:rPr>
          <w:rFonts w:ascii="Arial" w:hAnsi="Arial" w:cs="Arial"/>
          <w:sz w:val="24"/>
          <w:szCs w:val="24"/>
        </w:rPr>
        <w:t xml:space="preserve"> Member States’ </w:t>
      </w:r>
      <w:r w:rsidR="00552ED9">
        <w:rPr>
          <w:rFonts w:ascii="Arial" w:hAnsi="Arial" w:cs="Arial"/>
          <w:sz w:val="24"/>
          <w:szCs w:val="24"/>
        </w:rPr>
        <w:t>comments in</w:t>
      </w:r>
      <w:r w:rsidR="003A642C" w:rsidRPr="00F101A0">
        <w:rPr>
          <w:rFonts w:ascii="Arial" w:hAnsi="Arial" w:cs="Arial"/>
          <w:sz w:val="24"/>
          <w:szCs w:val="24"/>
        </w:rPr>
        <w:t xml:space="preserve"> the </w:t>
      </w:r>
      <w:r w:rsidR="00552ED9">
        <w:rPr>
          <w:rFonts w:ascii="Arial" w:hAnsi="Arial" w:cs="Arial"/>
          <w:sz w:val="24"/>
          <w:szCs w:val="24"/>
        </w:rPr>
        <w:t>first</w:t>
      </w:r>
      <w:r w:rsidR="003A642C" w:rsidRPr="00F101A0">
        <w:rPr>
          <w:rFonts w:ascii="Arial" w:hAnsi="Arial" w:cs="Arial"/>
          <w:sz w:val="24"/>
          <w:szCs w:val="24"/>
        </w:rPr>
        <w:t xml:space="preserve"> dedicated session</w:t>
      </w:r>
      <w:r w:rsidR="00A27FD7" w:rsidRPr="00F101A0">
        <w:rPr>
          <w:rFonts w:ascii="Arial" w:hAnsi="Arial" w:cs="Arial"/>
          <w:sz w:val="24"/>
          <w:szCs w:val="24"/>
        </w:rPr>
        <w:t xml:space="preserve"> relating to the progress made at the WTO </w:t>
      </w:r>
      <w:r w:rsidR="0031177D" w:rsidRPr="00F101A0">
        <w:rPr>
          <w:rFonts w:ascii="Arial" w:hAnsi="Arial" w:cs="Arial"/>
          <w:sz w:val="24"/>
          <w:szCs w:val="24"/>
        </w:rPr>
        <w:lastRenderedPageBreak/>
        <w:t xml:space="preserve">in developing the </w:t>
      </w:r>
      <w:r w:rsidR="00C37209" w:rsidRPr="00F101A0">
        <w:rPr>
          <w:rFonts w:ascii="Arial" w:hAnsi="Arial" w:cs="Arial"/>
          <w:sz w:val="24"/>
          <w:szCs w:val="24"/>
        </w:rPr>
        <w:t>Joint Initiative on Services Domestic Regulation</w:t>
      </w:r>
      <w:r w:rsidR="00413741" w:rsidRPr="00F101A0">
        <w:rPr>
          <w:rFonts w:ascii="Arial" w:hAnsi="Arial" w:cs="Arial"/>
          <w:sz w:val="24"/>
          <w:szCs w:val="24"/>
        </w:rPr>
        <w:t xml:space="preserve">. </w:t>
      </w:r>
      <w:r w:rsidRPr="00F101A0">
        <w:rPr>
          <w:rFonts w:ascii="Arial" w:hAnsi="Arial" w:cs="Arial"/>
          <w:sz w:val="24"/>
          <w:szCs w:val="24"/>
        </w:rPr>
        <w:t xml:space="preserve">Member States </w:t>
      </w:r>
      <w:r w:rsidR="008B31E2" w:rsidRPr="00F101A0">
        <w:rPr>
          <w:rFonts w:ascii="Arial" w:hAnsi="Arial" w:cs="Arial"/>
          <w:sz w:val="24"/>
          <w:szCs w:val="24"/>
        </w:rPr>
        <w:t xml:space="preserve">supported the </w:t>
      </w:r>
      <w:r w:rsidR="007634B8" w:rsidRPr="00F101A0">
        <w:rPr>
          <w:rFonts w:ascii="Arial" w:hAnsi="Arial" w:cs="Arial"/>
          <w:sz w:val="24"/>
          <w:szCs w:val="24"/>
        </w:rPr>
        <w:t>propos</w:t>
      </w:r>
      <w:r w:rsidR="00476A0F" w:rsidRPr="00F101A0">
        <w:rPr>
          <w:rFonts w:ascii="Arial" w:hAnsi="Arial" w:cs="Arial"/>
          <w:sz w:val="24"/>
          <w:szCs w:val="24"/>
        </w:rPr>
        <w:t xml:space="preserve">ed text </w:t>
      </w:r>
      <w:r w:rsidR="00EA25B2" w:rsidRPr="00F101A0">
        <w:rPr>
          <w:rFonts w:ascii="Arial" w:hAnsi="Arial" w:cs="Arial"/>
          <w:sz w:val="24"/>
          <w:szCs w:val="24"/>
        </w:rPr>
        <w:t xml:space="preserve">by the Secretariat and made some </w:t>
      </w:r>
      <w:r w:rsidR="003D2845" w:rsidRPr="00F101A0">
        <w:rPr>
          <w:rFonts w:ascii="Arial" w:hAnsi="Arial" w:cs="Arial"/>
          <w:sz w:val="24"/>
          <w:szCs w:val="24"/>
        </w:rPr>
        <w:t>improvement</w:t>
      </w:r>
      <w:r w:rsidR="0031177D" w:rsidRPr="00F101A0">
        <w:rPr>
          <w:rFonts w:ascii="Arial" w:hAnsi="Arial" w:cs="Arial"/>
          <w:sz w:val="24"/>
          <w:szCs w:val="24"/>
        </w:rPr>
        <w:t>s</w:t>
      </w:r>
      <w:r w:rsidR="003D2845" w:rsidRPr="00F101A0">
        <w:rPr>
          <w:rFonts w:ascii="Arial" w:hAnsi="Arial" w:cs="Arial"/>
          <w:sz w:val="24"/>
          <w:szCs w:val="24"/>
        </w:rPr>
        <w:t xml:space="preserve"> to reflect the need for </w:t>
      </w:r>
      <w:r w:rsidR="00B271AE" w:rsidRPr="00F101A0">
        <w:rPr>
          <w:rFonts w:ascii="Arial" w:hAnsi="Arial" w:cs="Arial"/>
          <w:sz w:val="24"/>
          <w:szCs w:val="24"/>
        </w:rPr>
        <w:t xml:space="preserve">MRAs to </w:t>
      </w:r>
      <w:r w:rsidR="0031177D" w:rsidRPr="00F101A0">
        <w:rPr>
          <w:rFonts w:ascii="Arial" w:hAnsi="Arial" w:cs="Arial"/>
          <w:sz w:val="24"/>
          <w:szCs w:val="24"/>
        </w:rPr>
        <w:t xml:space="preserve">be underpinned by technical competencies </w:t>
      </w:r>
      <w:r w:rsidR="00ED3574" w:rsidRPr="00F101A0">
        <w:rPr>
          <w:rFonts w:ascii="Arial" w:hAnsi="Arial" w:cs="Arial"/>
          <w:sz w:val="24"/>
          <w:szCs w:val="24"/>
        </w:rPr>
        <w:t xml:space="preserve">relating to </w:t>
      </w:r>
      <w:r w:rsidR="005D16F1" w:rsidRPr="00F101A0">
        <w:rPr>
          <w:rFonts w:ascii="Arial" w:hAnsi="Arial" w:cs="Arial"/>
          <w:sz w:val="24"/>
          <w:szCs w:val="24"/>
        </w:rPr>
        <w:t>technical standards</w:t>
      </w:r>
      <w:r w:rsidR="0031177D" w:rsidRPr="00F101A0">
        <w:rPr>
          <w:rFonts w:ascii="Arial" w:hAnsi="Arial" w:cs="Arial"/>
          <w:sz w:val="24"/>
          <w:szCs w:val="24"/>
        </w:rPr>
        <w:t xml:space="preserve">, </w:t>
      </w:r>
      <w:r w:rsidR="00C65FFF" w:rsidRPr="00F101A0">
        <w:rPr>
          <w:rFonts w:ascii="Arial" w:hAnsi="Arial" w:cs="Arial"/>
          <w:sz w:val="24"/>
          <w:szCs w:val="24"/>
        </w:rPr>
        <w:t>licens</w:t>
      </w:r>
      <w:r w:rsidR="00A619E7" w:rsidRPr="00F101A0">
        <w:rPr>
          <w:rFonts w:ascii="Arial" w:hAnsi="Arial" w:cs="Arial"/>
          <w:sz w:val="24"/>
          <w:szCs w:val="24"/>
        </w:rPr>
        <w:t>ing requirement</w:t>
      </w:r>
      <w:r w:rsidR="0031177D" w:rsidRPr="00F101A0">
        <w:rPr>
          <w:rFonts w:ascii="Arial" w:hAnsi="Arial" w:cs="Arial"/>
          <w:sz w:val="24"/>
          <w:szCs w:val="24"/>
        </w:rPr>
        <w:t>s</w:t>
      </w:r>
      <w:r w:rsidR="00A619E7" w:rsidRPr="00F101A0">
        <w:rPr>
          <w:rFonts w:ascii="Arial" w:hAnsi="Arial" w:cs="Arial"/>
          <w:sz w:val="24"/>
          <w:szCs w:val="24"/>
        </w:rPr>
        <w:t xml:space="preserve"> and procedures</w:t>
      </w:r>
      <w:r w:rsidR="00837455" w:rsidRPr="00F101A0">
        <w:rPr>
          <w:rFonts w:ascii="Arial" w:hAnsi="Arial" w:cs="Arial"/>
          <w:sz w:val="24"/>
          <w:szCs w:val="24"/>
        </w:rPr>
        <w:t xml:space="preserve">, and </w:t>
      </w:r>
      <w:r w:rsidR="00413741" w:rsidRPr="00F101A0">
        <w:rPr>
          <w:rFonts w:ascii="Arial" w:hAnsi="Arial" w:cs="Arial"/>
          <w:sz w:val="24"/>
          <w:szCs w:val="24"/>
        </w:rPr>
        <w:t>qualifications requirements</w:t>
      </w:r>
      <w:r w:rsidR="0031177D" w:rsidRPr="00F101A0">
        <w:rPr>
          <w:rFonts w:ascii="Arial" w:hAnsi="Arial" w:cs="Arial"/>
          <w:sz w:val="24"/>
          <w:szCs w:val="24"/>
        </w:rPr>
        <w:t>,</w:t>
      </w:r>
      <w:r w:rsidR="007E6228" w:rsidRPr="00F101A0">
        <w:rPr>
          <w:rFonts w:ascii="Arial" w:hAnsi="Arial" w:cs="Arial"/>
          <w:sz w:val="24"/>
          <w:szCs w:val="24"/>
        </w:rPr>
        <w:t xml:space="preserve"> </w:t>
      </w:r>
      <w:r w:rsidR="00413741" w:rsidRPr="00F101A0">
        <w:rPr>
          <w:rFonts w:ascii="Arial" w:hAnsi="Arial" w:cs="Arial"/>
          <w:sz w:val="24"/>
          <w:szCs w:val="24"/>
        </w:rPr>
        <w:t>in line with Article 6 of the Protocol</w:t>
      </w:r>
      <w:r w:rsidR="00795B81" w:rsidRPr="00F101A0">
        <w:rPr>
          <w:rFonts w:ascii="Arial" w:hAnsi="Arial" w:cs="Arial"/>
          <w:sz w:val="24"/>
          <w:szCs w:val="24"/>
        </w:rPr>
        <w:t>.</w:t>
      </w:r>
      <w:r w:rsidR="00413741" w:rsidRPr="00F101A0">
        <w:rPr>
          <w:rFonts w:ascii="Arial" w:hAnsi="Arial" w:cs="Arial"/>
          <w:sz w:val="24"/>
          <w:szCs w:val="24"/>
        </w:rPr>
        <w:t xml:space="preserve"> </w:t>
      </w:r>
    </w:p>
    <w:p w14:paraId="0E7EC6CC" w14:textId="4909449B" w:rsidR="00944E8D" w:rsidRPr="00F101A0" w:rsidRDefault="00944E8D" w:rsidP="00F101A0">
      <w:pPr>
        <w:pStyle w:val="ListParagraph"/>
        <w:numPr>
          <w:ilvl w:val="0"/>
          <w:numId w:val="20"/>
        </w:numPr>
        <w:spacing w:before="240" w:after="0" w:line="312" w:lineRule="auto"/>
        <w:ind w:left="1620" w:hanging="851"/>
        <w:jc w:val="both"/>
        <w:rPr>
          <w:rFonts w:ascii="Arial" w:hAnsi="Arial" w:cs="Arial"/>
          <w:sz w:val="24"/>
          <w:szCs w:val="24"/>
          <w:u w:val="single"/>
        </w:rPr>
      </w:pPr>
      <w:r w:rsidRPr="00F101A0">
        <w:rPr>
          <w:rFonts w:ascii="Arial" w:hAnsi="Arial" w:cs="Arial"/>
          <w:sz w:val="24"/>
          <w:szCs w:val="24"/>
          <w:u w:val="single"/>
        </w:rPr>
        <w:t>Conclusion 7:</w:t>
      </w:r>
      <w:r w:rsidR="006F20DC" w:rsidRPr="00F101A0">
        <w:rPr>
          <w:rFonts w:ascii="Arial" w:hAnsi="Arial" w:cs="Arial"/>
          <w:sz w:val="24"/>
          <w:szCs w:val="24"/>
          <w:u w:val="single"/>
        </w:rPr>
        <w:t xml:space="preserve"> </w:t>
      </w:r>
      <w:r w:rsidR="00CF3973" w:rsidRPr="00F101A0">
        <w:rPr>
          <w:rFonts w:ascii="Arial" w:hAnsi="Arial" w:cs="Arial"/>
          <w:sz w:val="24"/>
          <w:szCs w:val="24"/>
          <w:u w:val="single"/>
        </w:rPr>
        <w:t>Starting Point [Section 5]</w:t>
      </w:r>
    </w:p>
    <w:p w14:paraId="2BD64EAA" w14:textId="170E8D3C" w:rsidR="00FE353B" w:rsidRPr="00F101A0" w:rsidRDefault="00FE353B" w:rsidP="00F101A0">
      <w:pPr>
        <w:pStyle w:val="ListParagraph"/>
        <w:numPr>
          <w:ilvl w:val="0"/>
          <w:numId w:val="21"/>
        </w:numPr>
        <w:shd w:val="clear" w:color="auto" w:fill="D9D9D9" w:themeFill="background1" w:themeFillShade="D9"/>
        <w:spacing w:before="240" w:after="0" w:line="312" w:lineRule="auto"/>
        <w:ind w:left="2160" w:hanging="540"/>
        <w:jc w:val="both"/>
        <w:rPr>
          <w:rFonts w:ascii="Arial" w:hAnsi="Arial" w:cs="Arial"/>
          <w:sz w:val="24"/>
          <w:szCs w:val="24"/>
        </w:rPr>
      </w:pPr>
      <w:r w:rsidRPr="00F101A0">
        <w:rPr>
          <w:rFonts w:ascii="Arial" w:hAnsi="Arial" w:cs="Arial"/>
          <w:sz w:val="24"/>
          <w:szCs w:val="24"/>
        </w:rPr>
        <w:t xml:space="preserve">Rephase paragraph 5.2 to </w:t>
      </w:r>
      <w:r w:rsidR="00552ED9">
        <w:rPr>
          <w:rFonts w:ascii="Arial" w:hAnsi="Arial" w:cs="Arial"/>
          <w:sz w:val="24"/>
          <w:szCs w:val="24"/>
        </w:rPr>
        <w:t xml:space="preserve">read: </w:t>
      </w:r>
      <w:r w:rsidR="007005EA" w:rsidRPr="00F101A0">
        <w:rPr>
          <w:rFonts w:ascii="Arial" w:hAnsi="Arial" w:cs="Arial"/>
          <w:i/>
          <w:iCs/>
          <w:sz w:val="24"/>
          <w:szCs w:val="24"/>
        </w:rPr>
        <w:t xml:space="preserve">To the extent that MRAs developed under these Guidelines deal with matters relating to qualification requirements and procedures, technical standards, and licensing requirements and procedures, falling within the scope of Article 6 [domestic regulation] of the Protocol, State Parties shall ensure that such provisions in MRAs for professional services are consistent with [a] </w:t>
      </w:r>
      <w:r w:rsidR="0026504D" w:rsidRPr="00F101A0">
        <w:rPr>
          <w:rFonts w:ascii="Arial" w:hAnsi="Arial" w:cs="Arial"/>
          <w:i/>
          <w:iCs/>
          <w:sz w:val="24"/>
          <w:szCs w:val="24"/>
        </w:rPr>
        <w:t>[</w:t>
      </w:r>
      <w:r w:rsidR="007005EA" w:rsidRPr="00F101A0">
        <w:rPr>
          <w:rFonts w:ascii="Arial" w:hAnsi="Arial" w:cs="Arial"/>
          <w:i/>
          <w:iCs/>
          <w:sz w:val="24"/>
          <w:szCs w:val="24"/>
        </w:rPr>
        <w:t>each</w:t>
      </w:r>
      <w:r w:rsidR="0026504D" w:rsidRPr="00F101A0">
        <w:rPr>
          <w:rFonts w:ascii="Arial" w:hAnsi="Arial" w:cs="Arial"/>
          <w:i/>
          <w:iCs/>
          <w:sz w:val="24"/>
          <w:szCs w:val="24"/>
        </w:rPr>
        <w:t>]</w:t>
      </w:r>
      <w:r w:rsidR="007005EA" w:rsidRPr="00F101A0">
        <w:rPr>
          <w:rFonts w:ascii="Arial" w:hAnsi="Arial" w:cs="Arial"/>
          <w:i/>
          <w:iCs/>
          <w:sz w:val="24"/>
          <w:szCs w:val="24"/>
        </w:rPr>
        <w:t xml:space="preserve"> State Party’s commitments under the World Trade Organisation (WTO), including the Joint Initiative on Services Domestic Regulation where applicable”</w:t>
      </w:r>
      <w:r w:rsidR="0026504D" w:rsidRPr="00F101A0">
        <w:rPr>
          <w:rFonts w:ascii="Arial" w:hAnsi="Arial" w:cs="Arial"/>
          <w:i/>
          <w:iCs/>
          <w:sz w:val="24"/>
          <w:szCs w:val="24"/>
        </w:rPr>
        <w:t xml:space="preserve">, and </w:t>
      </w:r>
    </w:p>
    <w:p w14:paraId="001E4598" w14:textId="244D016D" w:rsidR="009D3AFD" w:rsidRPr="00F101A0" w:rsidRDefault="002D3BC1" w:rsidP="004605C3">
      <w:pPr>
        <w:pStyle w:val="ListParagraph"/>
        <w:numPr>
          <w:ilvl w:val="0"/>
          <w:numId w:val="21"/>
        </w:numPr>
        <w:shd w:val="clear" w:color="auto" w:fill="D9D9D9" w:themeFill="background1" w:themeFillShade="D9"/>
        <w:spacing w:before="120" w:after="0" w:line="312" w:lineRule="auto"/>
        <w:ind w:left="2160" w:hanging="540"/>
        <w:jc w:val="both"/>
        <w:rPr>
          <w:rFonts w:ascii="Arial" w:hAnsi="Arial" w:cs="Arial"/>
          <w:sz w:val="24"/>
          <w:szCs w:val="24"/>
        </w:rPr>
      </w:pPr>
      <w:r w:rsidRPr="00F101A0">
        <w:rPr>
          <w:rFonts w:ascii="Arial" w:hAnsi="Arial" w:cs="Arial"/>
          <w:sz w:val="24"/>
          <w:szCs w:val="24"/>
        </w:rPr>
        <w:t xml:space="preserve">The </w:t>
      </w:r>
      <w:r w:rsidR="00037D51" w:rsidRPr="00F101A0">
        <w:rPr>
          <w:rFonts w:ascii="Arial" w:hAnsi="Arial" w:cs="Arial"/>
          <w:sz w:val="24"/>
          <w:szCs w:val="24"/>
        </w:rPr>
        <w:t>Secretariat</w:t>
      </w:r>
      <w:r w:rsidRPr="00F101A0">
        <w:rPr>
          <w:rFonts w:ascii="Arial" w:hAnsi="Arial" w:cs="Arial"/>
          <w:sz w:val="24"/>
          <w:szCs w:val="24"/>
        </w:rPr>
        <w:t xml:space="preserve">, after legal input, to advise </w:t>
      </w:r>
      <w:r w:rsidR="00240C4B" w:rsidRPr="00F101A0">
        <w:rPr>
          <w:rFonts w:ascii="Arial" w:hAnsi="Arial" w:cs="Arial"/>
          <w:sz w:val="24"/>
          <w:szCs w:val="24"/>
        </w:rPr>
        <w:t xml:space="preserve">on </w:t>
      </w:r>
      <w:r w:rsidR="008F41B1" w:rsidRPr="00F101A0">
        <w:rPr>
          <w:rFonts w:ascii="Arial" w:hAnsi="Arial" w:cs="Arial"/>
          <w:sz w:val="24"/>
          <w:szCs w:val="24"/>
        </w:rPr>
        <w:t xml:space="preserve">a </w:t>
      </w:r>
      <w:r w:rsidR="00240C4B" w:rsidRPr="00F101A0">
        <w:rPr>
          <w:rFonts w:ascii="Arial" w:hAnsi="Arial" w:cs="Arial"/>
          <w:sz w:val="24"/>
          <w:szCs w:val="24"/>
        </w:rPr>
        <w:t xml:space="preserve">suitable </w:t>
      </w:r>
      <w:r w:rsidR="00037D51" w:rsidRPr="00F101A0">
        <w:rPr>
          <w:rFonts w:ascii="Arial" w:hAnsi="Arial" w:cs="Arial"/>
          <w:sz w:val="24"/>
          <w:szCs w:val="24"/>
        </w:rPr>
        <w:t>word</w:t>
      </w:r>
      <w:r w:rsidR="00EA256B" w:rsidRPr="00F101A0">
        <w:rPr>
          <w:rFonts w:ascii="Arial" w:hAnsi="Arial" w:cs="Arial"/>
          <w:sz w:val="24"/>
          <w:szCs w:val="24"/>
        </w:rPr>
        <w:t xml:space="preserve">, </w:t>
      </w:r>
      <w:r w:rsidR="00240C4B" w:rsidRPr="00F101A0">
        <w:rPr>
          <w:rFonts w:ascii="Arial" w:hAnsi="Arial" w:cs="Arial"/>
          <w:sz w:val="24"/>
          <w:szCs w:val="24"/>
        </w:rPr>
        <w:t>either</w:t>
      </w:r>
      <w:r w:rsidR="00EA256B" w:rsidRPr="00F101A0">
        <w:rPr>
          <w:rFonts w:ascii="Arial" w:hAnsi="Arial" w:cs="Arial"/>
          <w:sz w:val="24"/>
          <w:szCs w:val="24"/>
        </w:rPr>
        <w:t xml:space="preserve"> </w:t>
      </w:r>
      <w:r w:rsidR="00240C4B" w:rsidRPr="00F101A0">
        <w:rPr>
          <w:rFonts w:ascii="Arial" w:hAnsi="Arial" w:cs="Arial"/>
          <w:i/>
          <w:iCs/>
          <w:sz w:val="24"/>
          <w:szCs w:val="24"/>
        </w:rPr>
        <w:t>“</w:t>
      </w:r>
      <w:r w:rsidR="00240C4B" w:rsidRPr="00F101A0">
        <w:rPr>
          <w:rFonts w:ascii="Arial" w:hAnsi="Arial" w:cs="Arial"/>
          <w:i/>
          <w:iCs/>
          <w:sz w:val="24"/>
          <w:szCs w:val="24"/>
          <w:u w:val="single"/>
        </w:rPr>
        <w:t>a”</w:t>
      </w:r>
      <w:r w:rsidR="00240C4B" w:rsidRPr="00F101A0">
        <w:rPr>
          <w:rFonts w:ascii="Arial" w:hAnsi="Arial" w:cs="Arial"/>
          <w:sz w:val="24"/>
          <w:szCs w:val="24"/>
        </w:rPr>
        <w:t xml:space="preserve"> or </w:t>
      </w:r>
      <w:r w:rsidR="00240C4B" w:rsidRPr="00F101A0">
        <w:rPr>
          <w:rFonts w:ascii="Arial" w:hAnsi="Arial" w:cs="Arial"/>
          <w:i/>
          <w:iCs/>
          <w:sz w:val="24"/>
          <w:szCs w:val="24"/>
        </w:rPr>
        <w:t>“</w:t>
      </w:r>
      <w:r w:rsidR="00240C4B" w:rsidRPr="00F101A0">
        <w:rPr>
          <w:rFonts w:ascii="Arial" w:hAnsi="Arial" w:cs="Arial"/>
          <w:i/>
          <w:iCs/>
          <w:sz w:val="24"/>
          <w:szCs w:val="24"/>
          <w:u w:val="single"/>
        </w:rPr>
        <w:t>each</w:t>
      </w:r>
      <w:r w:rsidR="00EA256B" w:rsidRPr="00F101A0">
        <w:rPr>
          <w:rFonts w:ascii="Arial" w:hAnsi="Arial" w:cs="Arial"/>
          <w:sz w:val="24"/>
          <w:szCs w:val="24"/>
        </w:rPr>
        <w:t xml:space="preserve">, </w:t>
      </w:r>
      <w:r w:rsidR="00037D51" w:rsidRPr="00F101A0">
        <w:rPr>
          <w:rFonts w:ascii="Arial" w:hAnsi="Arial" w:cs="Arial"/>
          <w:sz w:val="24"/>
          <w:szCs w:val="24"/>
        </w:rPr>
        <w:t xml:space="preserve">to </w:t>
      </w:r>
      <w:r w:rsidR="008F41B1" w:rsidRPr="00F101A0">
        <w:rPr>
          <w:rFonts w:ascii="Arial" w:hAnsi="Arial" w:cs="Arial"/>
          <w:sz w:val="24"/>
          <w:szCs w:val="24"/>
        </w:rPr>
        <w:t>be</w:t>
      </w:r>
      <w:r w:rsidR="00037D51" w:rsidRPr="00F101A0">
        <w:rPr>
          <w:rFonts w:ascii="Arial" w:hAnsi="Arial" w:cs="Arial"/>
          <w:sz w:val="24"/>
          <w:szCs w:val="24"/>
        </w:rPr>
        <w:t xml:space="preserve"> used in </w:t>
      </w:r>
      <w:r w:rsidR="00694317" w:rsidRPr="00F101A0">
        <w:rPr>
          <w:rFonts w:ascii="Arial" w:hAnsi="Arial" w:cs="Arial"/>
          <w:sz w:val="24"/>
          <w:szCs w:val="24"/>
        </w:rPr>
        <w:t>paragraph 5.2</w:t>
      </w:r>
      <w:r w:rsidR="008F41B1" w:rsidRPr="00F101A0">
        <w:rPr>
          <w:rFonts w:ascii="Arial" w:hAnsi="Arial" w:cs="Arial"/>
          <w:sz w:val="24"/>
          <w:szCs w:val="24"/>
        </w:rPr>
        <w:t xml:space="preserve">, </w:t>
      </w:r>
      <w:r w:rsidR="00EA256B" w:rsidRPr="00F101A0">
        <w:rPr>
          <w:rFonts w:ascii="Arial" w:hAnsi="Arial" w:cs="Arial"/>
          <w:sz w:val="24"/>
          <w:szCs w:val="24"/>
        </w:rPr>
        <w:t xml:space="preserve">for consideration by Member States at the </w:t>
      </w:r>
      <w:r w:rsidR="00F96841" w:rsidRPr="00F101A0">
        <w:rPr>
          <w:rFonts w:ascii="Arial" w:hAnsi="Arial" w:cs="Arial"/>
          <w:sz w:val="24"/>
          <w:szCs w:val="24"/>
        </w:rPr>
        <w:t>next TNF-Services</w:t>
      </w:r>
      <w:r w:rsidR="008F41B1" w:rsidRPr="00F101A0">
        <w:rPr>
          <w:rFonts w:ascii="Arial" w:hAnsi="Arial" w:cs="Arial"/>
          <w:sz w:val="24"/>
          <w:szCs w:val="24"/>
        </w:rPr>
        <w:t xml:space="preserve"> meeting</w:t>
      </w:r>
      <w:r w:rsidR="00F96841" w:rsidRPr="00F101A0">
        <w:rPr>
          <w:rFonts w:ascii="Arial" w:hAnsi="Arial" w:cs="Arial"/>
          <w:sz w:val="24"/>
          <w:szCs w:val="24"/>
        </w:rPr>
        <w:t>.</w:t>
      </w:r>
    </w:p>
    <w:p w14:paraId="4A5D140F" w14:textId="517906BD" w:rsidR="0042077A" w:rsidRPr="00F101A0" w:rsidRDefault="0042077A" w:rsidP="004605C3">
      <w:pPr>
        <w:pStyle w:val="ListParagraph"/>
        <w:numPr>
          <w:ilvl w:val="2"/>
          <w:numId w:val="1"/>
        </w:numPr>
        <w:spacing w:before="120"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 xml:space="preserve">Stakeholders Engagements </w:t>
      </w:r>
      <w:r w:rsidR="000E5A05" w:rsidRPr="00F101A0">
        <w:rPr>
          <w:rFonts w:ascii="Arial Bold" w:hAnsi="Arial Bold" w:cs="Arial"/>
          <w:b/>
          <w:bCs/>
          <w:caps/>
          <w:sz w:val="24"/>
          <w:szCs w:val="24"/>
        </w:rPr>
        <w:t>[Section 6]</w:t>
      </w:r>
    </w:p>
    <w:p w14:paraId="4C128493" w14:textId="0C59BA9F" w:rsidR="002A0277" w:rsidRPr="00F101A0" w:rsidRDefault="000E726B" w:rsidP="00F101A0">
      <w:pPr>
        <w:spacing w:before="120" w:after="0" w:line="312" w:lineRule="auto"/>
        <w:ind w:left="1350"/>
        <w:jc w:val="both"/>
        <w:rPr>
          <w:rFonts w:ascii="Arial" w:hAnsi="Arial" w:cs="Arial"/>
          <w:sz w:val="24"/>
          <w:szCs w:val="24"/>
        </w:rPr>
      </w:pPr>
      <w:r w:rsidRPr="00F101A0">
        <w:rPr>
          <w:rFonts w:ascii="Arial" w:hAnsi="Arial" w:cs="Arial"/>
          <w:sz w:val="24"/>
          <w:szCs w:val="24"/>
        </w:rPr>
        <w:t xml:space="preserve">No comments from </w:t>
      </w:r>
      <w:r w:rsidR="00AF1A24" w:rsidRPr="00F101A0">
        <w:rPr>
          <w:rFonts w:ascii="Arial" w:hAnsi="Arial" w:cs="Arial"/>
          <w:sz w:val="24"/>
          <w:szCs w:val="24"/>
        </w:rPr>
        <w:t>Member S</w:t>
      </w:r>
      <w:r w:rsidR="00195D31" w:rsidRPr="00F101A0">
        <w:rPr>
          <w:rFonts w:ascii="Arial" w:hAnsi="Arial" w:cs="Arial"/>
          <w:sz w:val="24"/>
          <w:szCs w:val="24"/>
        </w:rPr>
        <w:t>t</w:t>
      </w:r>
      <w:r w:rsidR="00AF1A24" w:rsidRPr="00F101A0">
        <w:rPr>
          <w:rFonts w:ascii="Arial" w:hAnsi="Arial" w:cs="Arial"/>
          <w:sz w:val="24"/>
          <w:szCs w:val="24"/>
        </w:rPr>
        <w:t>ates</w:t>
      </w:r>
      <w:r w:rsidR="002E5E84" w:rsidRPr="00F101A0">
        <w:rPr>
          <w:rFonts w:ascii="Arial" w:hAnsi="Arial" w:cs="Arial"/>
          <w:sz w:val="24"/>
          <w:szCs w:val="24"/>
        </w:rPr>
        <w:t>.</w:t>
      </w:r>
      <w:r w:rsidR="00AF1A24" w:rsidRPr="00F101A0">
        <w:rPr>
          <w:rFonts w:ascii="Arial" w:hAnsi="Arial" w:cs="Arial"/>
          <w:sz w:val="24"/>
          <w:szCs w:val="24"/>
        </w:rPr>
        <w:t xml:space="preserve"> </w:t>
      </w:r>
    </w:p>
    <w:p w14:paraId="7333D8C6" w14:textId="77777777" w:rsidR="00765FA3" w:rsidRPr="00F101A0" w:rsidRDefault="00765FA3" w:rsidP="00765FA3">
      <w:pPr>
        <w:tabs>
          <w:tab w:val="left" w:pos="1170"/>
        </w:tabs>
        <w:spacing w:after="0" w:line="312" w:lineRule="auto"/>
        <w:rPr>
          <w:rFonts w:ascii="Arial" w:hAnsi="Arial" w:cs="Arial"/>
          <w:b/>
          <w:bCs/>
          <w:sz w:val="24"/>
          <w:szCs w:val="24"/>
        </w:rPr>
      </w:pPr>
    </w:p>
    <w:p w14:paraId="1C0FB7AF" w14:textId="3BA02D05" w:rsidR="00765FA3" w:rsidRPr="00F101A0" w:rsidRDefault="0084030C" w:rsidP="00F101A0">
      <w:pPr>
        <w:pStyle w:val="ListParagraph"/>
        <w:numPr>
          <w:ilvl w:val="2"/>
          <w:numId w:val="1"/>
        </w:numPr>
        <w:spacing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Negotiating Structures and Steps [Section 7]</w:t>
      </w:r>
    </w:p>
    <w:p w14:paraId="5F6F2588" w14:textId="07A5D73F" w:rsidR="00262FD4" w:rsidRPr="00F101A0" w:rsidRDefault="00B47E43" w:rsidP="00F101A0">
      <w:pPr>
        <w:pStyle w:val="ListParagraph"/>
        <w:numPr>
          <w:ilvl w:val="0"/>
          <w:numId w:val="23"/>
        </w:numPr>
        <w:tabs>
          <w:tab w:val="left" w:pos="851"/>
        </w:tabs>
        <w:spacing w:before="240" w:after="0" w:line="312" w:lineRule="auto"/>
        <w:ind w:hanging="851"/>
        <w:jc w:val="both"/>
        <w:rPr>
          <w:rFonts w:ascii="Arial" w:hAnsi="Arial" w:cs="Arial"/>
          <w:sz w:val="24"/>
          <w:szCs w:val="24"/>
        </w:rPr>
      </w:pPr>
      <w:r w:rsidRPr="00F101A0">
        <w:rPr>
          <w:rFonts w:ascii="Arial" w:hAnsi="Arial" w:cs="Arial"/>
          <w:b/>
          <w:bCs/>
          <w:sz w:val="24"/>
          <w:szCs w:val="24"/>
        </w:rPr>
        <w:t>P</w:t>
      </w:r>
      <w:r w:rsidR="00C1794A" w:rsidRPr="00F101A0">
        <w:rPr>
          <w:rFonts w:ascii="Arial" w:hAnsi="Arial" w:cs="Arial"/>
          <w:b/>
          <w:bCs/>
          <w:sz w:val="24"/>
          <w:szCs w:val="24"/>
        </w:rPr>
        <w:t xml:space="preserve">aragraph </w:t>
      </w:r>
      <w:r w:rsidR="00262FD4" w:rsidRPr="00F101A0">
        <w:rPr>
          <w:rFonts w:ascii="Arial" w:hAnsi="Arial" w:cs="Arial"/>
          <w:b/>
          <w:bCs/>
          <w:sz w:val="24"/>
          <w:szCs w:val="24"/>
        </w:rPr>
        <w:t>7</w:t>
      </w:r>
      <w:r w:rsidR="00783E10" w:rsidRPr="00F101A0">
        <w:rPr>
          <w:rFonts w:ascii="Arial" w:hAnsi="Arial" w:cs="Arial"/>
          <w:b/>
          <w:bCs/>
          <w:sz w:val="24"/>
          <w:szCs w:val="24"/>
        </w:rPr>
        <w:t>.</w:t>
      </w:r>
      <w:r w:rsidR="00262FD4" w:rsidRPr="00F101A0">
        <w:rPr>
          <w:rFonts w:ascii="Arial" w:hAnsi="Arial" w:cs="Arial"/>
          <w:b/>
          <w:bCs/>
          <w:sz w:val="24"/>
          <w:szCs w:val="24"/>
        </w:rPr>
        <w:t>1</w:t>
      </w:r>
      <w:r w:rsidR="003B7359" w:rsidRPr="00F101A0">
        <w:rPr>
          <w:rFonts w:ascii="Arial" w:hAnsi="Arial" w:cs="Arial"/>
          <w:sz w:val="24"/>
          <w:szCs w:val="24"/>
        </w:rPr>
        <w:t xml:space="preserve"> – </w:t>
      </w:r>
      <w:r w:rsidR="008F41B1" w:rsidRPr="00F101A0">
        <w:rPr>
          <w:rFonts w:ascii="Arial" w:hAnsi="Arial" w:cs="Arial"/>
          <w:sz w:val="24"/>
          <w:szCs w:val="24"/>
        </w:rPr>
        <w:t>T</w:t>
      </w:r>
      <w:r w:rsidR="008974A9" w:rsidRPr="00F101A0">
        <w:rPr>
          <w:rFonts w:ascii="Arial" w:hAnsi="Arial" w:cs="Arial"/>
          <w:sz w:val="24"/>
          <w:szCs w:val="24"/>
        </w:rPr>
        <w:t xml:space="preserve">he meeting noted that TNF-Services </w:t>
      </w:r>
      <w:r w:rsidR="008F41B1" w:rsidRPr="00F101A0">
        <w:rPr>
          <w:rFonts w:ascii="Arial" w:hAnsi="Arial" w:cs="Arial"/>
          <w:sz w:val="24"/>
          <w:szCs w:val="24"/>
        </w:rPr>
        <w:t>did</w:t>
      </w:r>
      <w:r w:rsidR="008974A9" w:rsidRPr="00F101A0">
        <w:rPr>
          <w:rFonts w:ascii="Arial" w:hAnsi="Arial" w:cs="Arial"/>
          <w:sz w:val="24"/>
          <w:szCs w:val="24"/>
        </w:rPr>
        <w:t xml:space="preserve"> not have </w:t>
      </w:r>
      <w:r w:rsidR="00496EA5" w:rsidRPr="00F101A0">
        <w:rPr>
          <w:rFonts w:ascii="Arial" w:hAnsi="Arial" w:cs="Arial"/>
          <w:sz w:val="24"/>
          <w:szCs w:val="24"/>
        </w:rPr>
        <w:t>mandate to create subcommittee</w:t>
      </w:r>
      <w:r w:rsidR="008F41B1" w:rsidRPr="00F101A0">
        <w:rPr>
          <w:rFonts w:ascii="Arial" w:hAnsi="Arial" w:cs="Arial"/>
          <w:sz w:val="24"/>
          <w:szCs w:val="24"/>
        </w:rPr>
        <w:t>s</w:t>
      </w:r>
      <w:r w:rsidR="00496EA5" w:rsidRPr="00F101A0">
        <w:rPr>
          <w:rFonts w:ascii="Arial" w:hAnsi="Arial" w:cs="Arial"/>
          <w:sz w:val="24"/>
          <w:szCs w:val="24"/>
        </w:rPr>
        <w:t xml:space="preserve"> as Article 24 assign</w:t>
      </w:r>
      <w:r w:rsidR="008F41B1" w:rsidRPr="00F101A0">
        <w:rPr>
          <w:rFonts w:ascii="Arial" w:hAnsi="Arial" w:cs="Arial"/>
          <w:sz w:val="24"/>
          <w:szCs w:val="24"/>
        </w:rPr>
        <w:t>ed</w:t>
      </w:r>
      <w:r w:rsidR="00496EA5" w:rsidRPr="00F101A0">
        <w:rPr>
          <w:rFonts w:ascii="Arial" w:hAnsi="Arial" w:cs="Arial"/>
          <w:sz w:val="24"/>
          <w:szCs w:val="24"/>
        </w:rPr>
        <w:t xml:space="preserve"> such </w:t>
      </w:r>
      <w:r w:rsidR="008F41B1" w:rsidRPr="00F101A0">
        <w:rPr>
          <w:rFonts w:ascii="Arial" w:hAnsi="Arial" w:cs="Arial"/>
          <w:sz w:val="24"/>
          <w:szCs w:val="24"/>
        </w:rPr>
        <w:t xml:space="preserve">a </w:t>
      </w:r>
      <w:r w:rsidR="00496EA5" w:rsidRPr="00F101A0">
        <w:rPr>
          <w:rFonts w:ascii="Arial" w:hAnsi="Arial" w:cs="Arial"/>
          <w:sz w:val="24"/>
          <w:szCs w:val="24"/>
        </w:rPr>
        <w:t>role to the Committee of Ministers of Trade</w:t>
      </w:r>
      <w:r w:rsidR="008F41B1" w:rsidRPr="00F101A0">
        <w:rPr>
          <w:rFonts w:ascii="Arial" w:hAnsi="Arial" w:cs="Arial"/>
          <w:sz w:val="24"/>
          <w:szCs w:val="24"/>
        </w:rPr>
        <w:t xml:space="preserve"> (CMT)</w:t>
      </w:r>
      <w:r w:rsidR="001B60F8" w:rsidRPr="00F101A0">
        <w:rPr>
          <w:rFonts w:ascii="Arial" w:hAnsi="Arial" w:cs="Arial"/>
          <w:sz w:val="24"/>
          <w:szCs w:val="24"/>
        </w:rPr>
        <w:t>. It was further noted that as TNF</w:t>
      </w:r>
      <w:r w:rsidR="00552ED9">
        <w:rPr>
          <w:rFonts w:ascii="Arial" w:hAnsi="Arial" w:cs="Arial"/>
          <w:sz w:val="24"/>
          <w:szCs w:val="24"/>
        </w:rPr>
        <w:t>-Services</w:t>
      </w:r>
      <w:r w:rsidR="001B60F8" w:rsidRPr="00F101A0">
        <w:rPr>
          <w:rFonts w:ascii="Arial" w:hAnsi="Arial" w:cs="Arial"/>
          <w:sz w:val="24"/>
          <w:szCs w:val="24"/>
        </w:rPr>
        <w:t xml:space="preserve"> ha</w:t>
      </w:r>
      <w:r w:rsidR="008F41B1" w:rsidRPr="00F101A0">
        <w:rPr>
          <w:rFonts w:ascii="Arial" w:hAnsi="Arial" w:cs="Arial"/>
          <w:sz w:val="24"/>
          <w:szCs w:val="24"/>
        </w:rPr>
        <w:t>d</w:t>
      </w:r>
      <w:r w:rsidR="001B60F8" w:rsidRPr="00F101A0">
        <w:rPr>
          <w:rFonts w:ascii="Arial" w:hAnsi="Arial" w:cs="Arial"/>
          <w:sz w:val="24"/>
          <w:szCs w:val="24"/>
        </w:rPr>
        <w:t xml:space="preserve"> benefited from the advice of Sector Focus Group</w:t>
      </w:r>
      <w:r w:rsidR="00552ED9">
        <w:rPr>
          <w:rFonts w:ascii="Arial" w:hAnsi="Arial" w:cs="Arial"/>
          <w:sz w:val="24"/>
          <w:szCs w:val="24"/>
        </w:rPr>
        <w:t>s</w:t>
      </w:r>
      <w:r w:rsidR="001B60F8" w:rsidRPr="00F101A0">
        <w:rPr>
          <w:rFonts w:ascii="Arial" w:hAnsi="Arial" w:cs="Arial"/>
          <w:sz w:val="24"/>
          <w:szCs w:val="24"/>
        </w:rPr>
        <w:t xml:space="preserve"> (SFGs</w:t>
      </w:r>
      <w:r w:rsidR="008F41B1" w:rsidRPr="00F101A0">
        <w:rPr>
          <w:rFonts w:ascii="Arial" w:hAnsi="Arial" w:cs="Arial"/>
          <w:sz w:val="24"/>
          <w:szCs w:val="24"/>
        </w:rPr>
        <w:t>)</w:t>
      </w:r>
      <w:r w:rsidR="001B60F8" w:rsidRPr="00F101A0">
        <w:rPr>
          <w:rFonts w:ascii="Arial" w:hAnsi="Arial" w:cs="Arial"/>
          <w:sz w:val="24"/>
          <w:szCs w:val="24"/>
        </w:rPr>
        <w:t xml:space="preserve">, </w:t>
      </w:r>
      <w:r w:rsidR="00AA6343" w:rsidRPr="00F101A0">
        <w:rPr>
          <w:rFonts w:ascii="Arial" w:hAnsi="Arial" w:cs="Arial"/>
          <w:sz w:val="24"/>
          <w:szCs w:val="24"/>
        </w:rPr>
        <w:t xml:space="preserve">it was </w:t>
      </w:r>
      <w:r w:rsidR="00D946DD" w:rsidRPr="00F101A0">
        <w:rPr>
          <w:rFonts w:ascii="Arial" w:hAnsi="Arial" w:cs="Arial"/>
          <w:sz w:val="24"/>
          <w:szCs w:val="24"/>
        </w:rPr>
        <w:t>prudent</w:t>
      </w:r>
      <w:r w:rsidR="00AA6343" w:rsidRPr="00F101A0">
        <w:rPr>
          <w:rFonts w:ascii="Arial" w:hAnsi="Arial" w:cs="Arial"/>
          <w:sz w:val="24"/>
          <w:szCs w:val="24"/>
        </w:rPr>
        <w:t xml:space="preserve"> for the </w:t>
      </w:r>
      <w:r w:rsidR="00D946DD" w:rsidRPr="00F101A0">
        <w:rPr>
          <w:rFonts w:ascii="Arial" w:hAnsi="Arial" w:cs="Arial"/>
          <w:sz w:val="24"/>
          <w:szCs w:val="24"/>
        </w:rPr>
        <w:t xml:space="preserve">Guidelines </w:t>
      </w:r>
      <w:r w:rsidR="00AA6343" w:rsidRPr="00F101A0">
        <w:rPr>
          <w:rFonts w:ascii="Arial" w:hAnsi="Arial" w:cs="Arial"/>
          <w:sz w:val="24"/>
          <w:szCs w:val="24"/>
        </w:rPr>
        <w:t xml:space="preserve">to provide for such a </w:t>
      </w:r>
      <w:r w:rsidR="0085480D" w:rsidRPr="00F101A0">
        <w:rPr>
          <w:rFonts w:ascii="Arial" w:hAnsi="Arial" w:cs="Arial"/>
          <w:sz w:val="24"/>
          <w:szCs w:val="24"/>
        </w:rPr>
        <w:t>structure and</w:t>
      </w:r>
      <w:r w:rsidR="00552ED9">
        <w:rPr>
          <w:rFonts w:ascii="Arial" w:hAnsi="Arial" w:cs="Arial"/>
          <w:sz w:val="24"/>
          <w:szCs w:val="24"/>
        </w:rPr>
        <w:t>,</w:t>
      </w:r>
      <w:r w:rsidR="00D946DD" w:rsidRPr="00F101A0">
        <w:rPr>
          <w:rFonts w:ascii="Arial" w:hAnsi="Arial" w:cs="Arial"/>
          <w:sz w:val="24"/>
          <w:szCs w:val="24"/>
        </w:rPr>
        <w:t xml:space="preserve"> upon </w:t>
      </w:r>
      <w:r w:rsidR="00552ED9">
        <w:rPr>
          <w:rFonts w:ascii="Arial" w:hAnsi="Arial" w:cs="Arial"/>
          <w:sz w:val="24"/>
          <w:szCs w:val="24"/>
        </w:rPr>
        <w:t>their</w:t>
      </w:r>
      <w:r w:rsidR="00D946DD" w:rsidRPr="00F101A0">
        <w:rPr>
          <w:rFonts w:ascii="Arial" w:hAnsi="Arial" w:cs="Arial"/>
          <w:sz w:val="24"/>
          <w:szCs w:val="24"/>
        </w:rPr>
        <w:t xml:space="preserve"> approval by the CMT, the structure would be deemed </w:t>
      </w:r>
      <w:r w:rsidR="008F41B1" w:rsidRPr="00F101A0">
        <w:rPr>
          <w:rFonts w:ascii="Arial" w:hAnsi="Arial" w:cs="Arial"/>
          <w:sz w:val="24"/>
          <w:szCs w:val="24"/>
        </w:rPr>
        <w:t xml:space="preserve">a </w:t>
      </w:r>
      <w:r w:rsidR="00441B0D" w:rsidRPr="00F101A0">
        <w:rPr>
          <w:rFonts w:ascii="Arial" w:hAnsi="Arial" w:cs="Arial"/>
          <w:sz w:val="24"/>
          <w:szCs w:val="24"/>
        </w:rPr>
        <w:t xml:space="preserve">formal structure. </w:t>
      </w:r>
      <w:r w:rsidR="008F41B1" w:rsidRPr="00F101A0">
        <w:rPr>
          <w:rFonts w:ascii="Arial" w:hAnsi="Arial" w:cs="Arial"/>
          <w:sz w:val="24"/>
          <w:szCs w:val="24"/>
        </w:rPr>
        <w:t>S</w:t>
      </w:r>
      <w:r w:rsidR="00441B0D" w:rsidRPr="00F101A0">
        <w:rPr>
          <w:rFonts w:ascii="Arial" w:hAnsi="Arial" w:cs="Arial"/>
          <w:sz w:val="24"/>
          <w:szCs w:val="24"/>
        </w:rPr>
        <w:t>ome Member State</w:t>
      </w:r>
      <w:r w:rsidR="008F41B1" w:rsidRPr="00F101A0">
        <w:rPr>
          <w:rFonts w:ascii="Arial" w:hAnsi="Arial" w:cs="Arial"/>
          <w:sz w:val="24"/>
          <w:szCs w:val="24"/>
        </w:rPr>
        <w:t>s</w:t>
      </w:r>
      <w:r w:rsidR="00441B0D" w:rsidRPr="00F101A0">
        <w:rPr>
          <w:rFonts w:ascii="Arial" w:hAnsi="Arial" w:cs="Arial"/>
          <w:sz w:val="24"/>
          <w:szCs w:val="24"/>
        </w:rPr>
        <w:t xml:space="preserve"> suggested use of </w:t>
      </w:r>
      <w:r w:rsidR="008F41B1" w:rsidRPr="00F101A0">
        <w:rPr>
          <w:rFonts w:ascii="Arial" w:hAnsi="Arial" w:cs="Arial"/>
          <w:sz w:val="24"/>
          <w:szCs w:val="24"/>
        </w:rPr>
        <w:t xml:space="preserve">the </w:t>
      </w:r>
      <w:r w:rsidR="00701F64" w:rsidRPr="00F101A0">
        <w:rPr>
          <w:rFonts w:ascii="Arial" w:hAnsi="Arial" w:cs="Arial"/>
          <w:sz w:val="24"/>
          <w:szCs w:val="24"/>
        </w:rPr>
        <w:t xml:space="preserve">designation </w:t>
      </w:r>
      <w:r w:rsidR="008F41B1" w:rsidRPr="00F101A0">
        <w:rPr>
          <w:rFonts w:ascii="Arial" w:hAnsi="Arial" w:cs="Arial"/>
          <w:sz w:val="24"/>
          <w:szCs w:val="24"/>
        </w:rPr>
        <w:t>“</w:t>
      </w:r>
      <w:r w:rsidR="00E02AB0" w:rsidRPr="00F101A0">
        <w:rPr>
          <w:rFonts w:ascii="Arial" w:hAnsi="Arial" w:cs="Arial"/>
          <w:sz w:val="24"/>
          <w:szCs w:val="24"/>
        </w:rPr>
        <w:t>technical working group (TWG)</w:t>
      </w:r>
      <w:r w:rsidR="008F41B1" w:rsidRPr="00F101A0">
        <w:rPr>
          <w:rFonts w:ascii="Arial" w:hAnsi="Arial" w:cs="Arial"/>
          <w:sz w:val="24"/>
          <w:szCs w:val="24"/>
        </w:rPr>
        <w:t>”</w:t>
      </w:r>
      <w:r w:rsidR="00E02AB0" w:rsidRPr="00F101A0">
        <w:rPr>
          <w:rFonts w:ascii="Arial" w:hAnsi="Arial" w:cs="Arial"/>
          <w:sz w:val="24"/>
          <w:szCs w:val="24"/>
        </w:rPr>
        <w:t xml:space="preserve"> instead of SFG</w:t>
      </w:r>
      <w:r w:rsidR="0085480D" w:rsidRPr="00F101A0">
        <w:rPr>
          <w:rFonts w:ascii="Arial" w:hAnsi="Arial" w:cs="Arial"/>
          <w:sz w:val="24"/>
          <w:szCs w:val="24"/>
        </w:rPr>
        <w:t>, but the meeting agreed to maintain the use of SFG for consistenc</w:t>
      </w:r>
      <w:r w:rsidR="008F41B1" w:rsidRPr="00F101A0">
        <w:rPr>
          <w:rFonts w:ascii="Arial" w:hAnsi="Arial" w:cs="Arial"/>
          <w:sz w:val="24"/>
          <w:szCs w:val="24"/>
        </w:rPr>
        <w:t>y</w:t>
      </w:r>
      <w:r w:rsidR="0085480D" w:rsidRPr="00F101A0">
        <w:rPr>
          <w:rFonts w:ascii="Arial" w:hAnsi="Arial" w:cs="Arial"/>
          <w:sz w:val="24"/>
          <w:szCs w:val="24"/>
        </w:rPr>
        <w:t xml:space="preserve"> </w:t>
      </w:r>
      <w:r w:rsidR="009D72F7" w:rsidRPr="00F101A0">
        <w:rPr>
          <w:rFonts w:ascii="Arial" w:hAnsi="Arial" w:cs="Arial"/>
          <w:sz w:val="24"/>
          <w:szCs w:val="24"/>
        </w:rPr>
        <w:t>as TNF-</w:t>
      </w:r>
      <w:r w:rsidR="008F41B1" w:rsidRPr="00F101A0">
        <w:rPr>
          <w:rFonts w:ascii="Arial" w:hAnsi="Arial" w:cs="Arial"/>
          <w:sz w:val="24"/>
          <w:szCs w:val="24"/>
        </w:rPr>
        <w:t>S</w:t>
      </w:r>
      <w:r w:rsidR="009D72F7" w:rsidRPr="00F101A0">
        <w:rPr>
          <w:rFonts w:ascii="Arial" w:hAnsi="Arial" w:cs="Arial"/>
          <w:sz w:val="24"/>
          <w:szCs w:val="24"/>
        </w:rPr>
        <w:t xml:space="preserve">ervices </w:t>
      </w:r>
      <w:r w:rsidR="003C19AA" w:rsidRPr="00F101A0">
        <w:rPr>
          <w:rFonts w:ascii="Arial" w:hAnsi="Arial" w:cs="Arial"/>
          <w:sz w:val="24"/>
          <w:szCs w:val="24"/>
        </w:rPr>
        <w:t xml:space="preserve">had been using </w:t>
      </w:r>
      <w:r w:rsidR="008F41B1" w:rsidRPr="00F101A0">
        <w:rPr>
          <w:rFonts w:ascii="Arial" w:hAnsi="Arial" w:cs="Arial"/>
          <w:sz w:val="24"/>
          <w:szCs w:val="24"/>
        </w:rPr>
        <w:t>this designation</w:t>
      </w:r>
      <w:r w:rsidR="003C19AA" w:rsidRPr="00F101A0">
        <w:rPr>
          <w:rFonts w:ascii="Arial" w:hAnsi="Arial" w:cs="Arial"/>
          <w:sz w:val="24"/>
          <w:szCs w:val="24"/>
        </w:rPr>
        <w:t xml:space="preserve"> </w:t>
      </w:r>
      <w:r w:rsidR="001B60F8" w:rsidRPr="00F101A0">
        <w:rPr>
          <w:rFonts w:ascii="Arial" w:hAnsi="Arial" w:cs="Arial"/>
          <w:sz w:val="24"/>
          <w:szCs w:val="24"/>
        </w:rPr>
        <w:t xml:space="preserve">during the first round of negotiations. </w:t>
      </w:r>
      <w:r w:rsidR="005D250C" w:rsidRPr="00F101A0">
        <w:rPr>
          <w:rFonts w:ascii="Arial" w:hAnsi="Arial" w:cs="Arial"/>
          <w:sz w:val="24"/>
          <w:szCs w:val="24"/>
        </w:rPr>
        <w:t xml:space="preserve">In </w:t>
      </w:r>
      <w:r w:rsidR="00531F04" w:rsidRPr="00F101A0">
        <w:rPr>
          <w:rFonts w:ascii="Arial" w:hAnsi="Arial" w:cs="Arial"/>
          <w:sz w:val="24"/>
          <w:szCs w:val="24"/>
        </w:rPr>
        <w:t xml:space="preserve">addition, Member States proposed </w:t>
      </w:r>
      <w:r w:rsidR="003B7359" w:rsidRPr="00F101A0">
        <w:rPr>
          <w:rFonts w:ascii="Arial" w:hAnsi="Arial" w:cs="Arial"/>
          <w:sz w:val="24"/>
          <w:szCs w:val="24"/>
        </w:rPr>
        <w:t>replacing the wor</w:t>
      </w:r>
      <w:r w:rsidR="00531F04" w:rsidRPr="00F101A0">
        <w:rPr>
          <w:rFonts w:ascii="Arial" w:hAnsi="Arial" w:cs="Arial"/>
          <w:sz w:val="24"/>
          <w:szCs w:val="24"/>
        </w:rPr>
        <w:t>d</w:t>
      </w:r>
      <w:r w:rsidR="003B7359" w:rsidRPr="00F101A0">
        <w:rPr>
          <w:rFonts w:ascii="Arial" w:hAnsi="Arial" w:cs="Arial"/>
          <w:sz w:val="24"/>
          <w:szCs w:val="24"/>
        </w:rPr>
        <w:t xml:space="preserve">s </w:t>
      </w:r>
      <w:r w:rsidR="00CD3D31" w:rsidRPr="00F101A0">
        <w:rPr>
          <w:rFonts w:ascii="Arial" w:hAnsi="Arial" w:cs="Arial"/>
          <w:sz w:val="24"/>
          <w:szCs w:val="24"/>
        </w:rPr>
        <w:t xml:space="preserve">“… </w:t>
      </w:r>
      <w:r w:rsidR="00CD3D31" w:rsidRPr="00F101A0">
        <w:rPr>
          <w:rFonts w:ascii="Arial" w:hAnsi="Arial" w:cs="Arial"/>
          <w:i/>
          <w:iCs/>
          <w:sz w:val="24"/>
          <w:szCs w:val="24"/>
        </w:rPr>
        <w:t>to express interest</w:t>
      </w:r>
      <w:r w:rsidR="00CD3D31" w:rsidRPr="00F101A0">
        <w:rPr>
          <w:rFonts w:ascii="Arial" w:hAnsi="Arial" w:cs="Arial"/>
          <w:sz w:val="24"/>
          <w:szCs w:val="24"/>
        </w:rPr>
        <w:t xml:space="preserve"> …” </w:t>
      </w:r>
      <w:r w:rsidR="00121B3D" w:rsidRPr="00F101A0">
        <w:rPr>
          <w:rFonts w:ascii="Arial" w:hAnsi="Arial" w:cs="Arial"/>
          <w:sz w:val="24"/>
          <w:szCs w:val="24"/>
        </w:rPr>
        <w:t xml:space="preserve">with </w:t>
      </w:r>
      <w:r w:rsidR="009E65EE" w:rsidRPr="00F101A0">
        <w:rPr>
          <w:rFonts w:ascii="Arial" w:hAnsi="Arial" w:cs="Arial"/>
          <w:sz w:val="24"/>
          <w:szCs w:val="24"/>
        </w:rPr>
        <w:t>the word</w:t>
      </w:r>
      <w:r w:rsidR="008F41B1" w:rsidRPr="00F101A0">
        <w:rPr>
          <w:rFonts w:ascii="Arial" w:hAnsi="Arial" w:cs="Arial"/>
          <w:sz w:val="24"/>
          <w:szCs w:val="24"/>
        </w:rPr>
        <w:t>s</w:t>
      </w:r>
      <w:r w:rsidR="009E65EE" w:rsidRPr="00F101A0">
        <w:rPr>
          <w:rFonts w:ascii="Arial" w:hAnsi="Arial" w:cs="Arial"/>
          <w:sz w:val="24"/>
          <w:szCs w:val="24"/>
        </w:rPr>
        <w:t xml:space="preserve"> </w:t>
      </w:r>
      <w:r w:rsidR="00121B3D" w:rsidRPr="00F101A0">
        <w:rPr>
          <w:rFonts w:ascii="Arial" w:hAnsi="Arial" w:cs="Arial"/>
          <w:sz w:val="24"/>
          <w:szCs w:val="24"/>
        </w:rPr>
        <w:t>“</w:t>
      </w:r>
      <w:r w:rsidR="008F41B1" w:rsidRPr="00F101A0">
        <w:rPr>
          <w:rFonts w:ascii="Arial" w:hAnsi="Arial" w:cs="Arial"/>
          <w:sz w:val="24"/>
          <w:szCs w:val="24"/>
        </w:rPr>
        <w:t xml:space="preserve">… </w:t>
      </w:r>
      <w:r w:rsidR="008F41B1" w:rsidRPr="00F101A0">
        <w:rPr>
          <w:rFonts w:ascii="Arial" w:hAnsi="Arial" w:cs="Arial"/>
          <w:i/>
          <w:iCs/>
          <w:sz w:val="24"/>
          <w:szCs w:val="24"/>
        </w:rPr>
        <w:t xml:space="preserve">to </w:t>
      </w:r>
      <w:r w:rsidR="00DE72C4" w:rsidRPr="00F101A0">
        <w:rPr>
          <w:rFonts w:ascii="Arial" w:hAnsi="Arial" w:cs="Arial"/>
          <w:i/>
          <w:iCs/>
          <w:sz w:val="24"/>
          <w:szCs w:val="24"/>
        </w:rPr>
        <w:t>provide</w:t>
      </w:r>
      <w:r w:rsidR="004A559E" w:rsidRPr="00F101A0">
        <w:rPr>
          <w:rFonts w:ascii="Arial" w:hAnsi="Arial" w:cs="Arial"/>
          <w:i/>
          <w:iCs/>
          <w:sz w:val="24"/>
          <w:szCs w:val="24"/>
        </w:rPr>
        <w:t xml:space="preserve"> inputs</w:t>
      </w:r>
      <w:r w:rsidR="008F41B1" w:rsidRPr="00F101A0">
        <w:rPr>
          <w:rFonts w:ascii="Arial" w:hAnsi="Arial" w:cs="Arial"/>
          <w:i/>
          <w:iCs/>
          <w:sz w:val="24"/>
          <w:szCs w:val="24"/>
        </w:rPr>
        <w:t xml:space="preserve"> …</w:t>
      </w:r>
      <w:r w:rsidR="00121B3D" w:rsidRPr="00F101A0">
        <w:rPr>
          <w:rFonts w:ascii="Arial" w:hAnsi="Arial" w:cs="Arial"/>
          <w:sz w:val="24"/>
          <w:szCs w:val="24"/>
        </w:rPr>
        <w:t>”</w:t>
      </w:r>
      <w:r w:rsidR="009F26B1" w:rsidRPr="00F101A0">
        <w:rPr>
          <w:rFonts w:ascii="Arial" w:hAnsi="Arial" w:cs="Arial"/>
          <w:sz w:val="24"/>
          <w:szCs w:val="24"/>
        </w:rPr>
        <w:t xml:space="preserve"> in paragraph 7</w:t>
      </w:r>
      <w:r w:rsidR="008F41B1" w:rsidRPr="00F101A0">
        <w:rPr>
          <w:rFonts w:ascii="Arial" w:hAnsi="Arial" w:cs="Arial"/>
          <w:sz w:val="24"/>
          <w:szCs w:val="24"/>
        </w:rPr>
        <w:t>.</w:t>
      </w:r>
      <w:r w:rsidR="009F26B1" w:rsidRPr="00F101A0">
        <w:rPr>
          <w:rFonts w:ascii="Arial" w:hAnsi="Arial" w:cs="Arial"/>
          <w:sz w:val="24"/>
          <w:szCs w:val="24"/>
        </w:rPr>
        <w:t>1(a)</w:t>
      </w:r>
      <w:r w:rsidR="00121B3D" w:rsidRPr="00F101A0">
        <w:rPr>
          <w:rFonts w:ascii="Arial" w:hAnsi="Arial" w:cs="Arial"/>
          <w:sz w:val="24"/>
          <w:szCs w:val="24"/>
        </w:rPr>
        <w:t>.</w:t>
      </w:r>
      <w:r w:rsidR="003B3176" w:rsidRPr="00F101A0">
        <w:rPr>
          <w:rFonts w:ascii="Arial" w:hAnsi="Arial" w:cs="Arial"/>
          <w:sz w:val="24"/>
          <w:szCs w:val="24"/>
        </w:rPr>
        <w:t xml:space="preserve"> </w:t>
      </w:r>
    </w:p>
    <w:p w14:paraId="7C86CACF" w14:textId="24B8CE92" w:rsidR="00EA476F" w:rsidRPr="00F101A0" w:rsidRDefault="006C1249" w:rsidP="00F101A0">
      <w:pPr>
        <w:pStyle w:val="ListParagraph"/>
        <w:numPr>
          <w:ilvl w:val="0"/>
          <w:numId w:val="23"/>
        </w:numPr>
        <w:tabs>
          <w:tab w:val="left" w:pos="851"/>
        </w:tabs>
        <w:spacing w:before="240" w:after="0" w:line="312" w:lineRule="auto"/>
        <w:ind w:hanging="851"/>
        <w:jc w:val="both"/>
        <w:rPr>
          <w:rFonts w:ascii="Arial" w:hAnsi="Arial" w:cs="Arial"/>
          <w:sz w:val="24"/>
          <w:szCs w:val="24"/>
        </w:rPr>
      </w:pPr>
      <w:r w:rsidRPr="00F101A0">
        <w:rPr>
          <w:rFonts w:ascii="Arial" w:hAnsi="Arial" w:cs="Arial"/>
          <w:b/>
          <w:bCs/>
          <w:sz w:val="24"/>
          <w:szCs w:val="24"/>
        </w:rPr>
        <w:lastRenderedPageBreak/>
        <w:t>P</w:t>
      </w:r>
      <w:r w:rsidR="00783E10" w:rsidRPr="00F101A0">
        <w:rPr>
          <w:rFonts w:ascii="Arial" w:hAnsi="Arial" w:cs="Arial"/>
          <w:b/>
          <w:bCs/>
          <w:sz w:val="24"/>
          <w:szCs w:val="24"/>
        </w:rPr>
        <w:t>aragraph 7.</w:t>
      </w:r>
      <w:r w:rsidR="00FE5589" w:rsidRPr="00F101A0">
        <w:rPr>
          <w:rFonts w:ascii="Arial" w:hAnsi="Arial" w:cs="Arial"/>
          <w:b/>
          <w:bCs/>
          <w:sz w:val="24"/>
          <w:szCs w:val="24"/>
        </w:rPr>
        <w:t>3</w:t>
      </w:r>
      <w:r w:rsidR="00192BA3" w:rsidRPr="00F101A0">
        <w:rPr>
          <w:rFonts w:ascii="Arial" w:hAnsi="Arial" w:cs="Arial"/>
          <w:sz w:val="24"/>
          <w:szCs w:val="24"/>
        </w:rPr>
        <w:t xml:space="preserve"> – Member State</w:t>
      </w:r>
      <w:r w:rsidR="008F41B1" w:rsidRPr="00F101A0">
        <w:rPr>
          <w:rFonts w:ascii="Arial" w:hAnsi="Arial" w:cs="Arial"/>
          <w:sz w:val="24"/>
          <w:szCs w:val="24"/>
        </w:rPr>
        <w:t>s</w:t>
      </w:r>
      <w:r w:rsidR="00192BA3" w:rsidRPr="00F101A0">
        <w:rPr>
          <w:rFonts w:ascii="Arial" w:hAnsi="Arial" w:cs="Arial"/>
          <w:sz w:val="24"/>
          <w:szCs w:val="24"/>
        </w:rPr>
        <w:t xml:space="preserve"> had divergent view</w:t>
      </w:r>
      <w:r w:rsidR="008F41B1" w:rsidRPr="00F101A0">
        <w:rPr>
          <w:rFonts w:ascii="Arial" w:hAnsi="Arial" w:cs="Arial"/>
          <w:sz w:val="24"/>
          <w:szCs w:val="24"/>
        </w:rPr>
        <w:t>s</w:t>
      </w:r>
      <w:r w:rsidR="00192BA3" w:rsidRPr="00F101A0">
        <w:rPr>
          <w:rFonts w:ascii="Arial" w:hAnsi="Arial" w:cs="Arial"/>
          <w:sz w:val="24"/>
          <w:szCs w:val="24"/>
        </w:rPr>
        <w:t xml:space="preserve"> on whether to include </w:t>
      </w:r>
      <w:r w:rsidR="001E1970" w:rsidRPr="00F101A0">
        <w:rPr>
          <w:rFonts w:ascii="Arial" w:hAnsi="Arial" w:cs="Arial"/>
          <w:sz w:val="24"/>
          <w:szCs w:val="24"/>
        </w:rPr>
        <w:t xml:space="preserve">this </w:t>
      </w:r>
      <w:r w:rsidR="00192BA3" w:rsidRPr="00F101A0">
        <w:rPr>
          <w:rFonts w:ascii="Arial" w:hAnsi="Arial" w:cs="Arial"/>
          <w:sz w:val="24"/>
          <w:szCs w:val="24"/>
        </w:rPr>
        <w:t>paragraph</w:t>
      </w:r>
      <w:r w:rsidR="001E1970" w:rsidRPr="00F101A0">
        <w:rPr>
          <w:rFonts w:ascii="Arial" w:hAnsi="Arial" w:cs="Arial"/>
          <w:sz w:val="24"/>
          <w:szCs w:val="24"/>
        </w:rPr>
        <w:t xml:space="preserve"> as some wanted to </w:t>
      </w:r>
      <w:r w:rsidR="009079FB" w:rsidRPr="00F101A0">
        <w:rPr>
          <w:rFonts w:ascii="Arial" w:hAnsi="Arial" w:cs="Arial"/>
          <w:sz w:val="24"/>
          <w:szCs w:val="24"/>
        </w:rPr>
        <w:t>exclude</w:t>
      </w:r>
      <w:r w:rsidR="00B938DA" w:rsidRPr="00F101A0">
        <w:rPr>
          <w:rFonts w:ascii="Arial" w:hAnsi="Arial" w:cs="Arial"/>
          <w:sz w:val="24"/>
          <w:szCs w:val="24"/>
        </w:rPr>
        <w:t xml:space="preserve"> the issue of how the final text of </w:t>
      </w:r>
      <w:r w:rsidR="00701F64">
        <w:rPr>
          <w:rFonts w:ascii="Arial" w:hAnsi="Arial" w:cs="Arial"/>
          <w:sz w:val="24"/>
          <w:szCs w:val="24"/>
        </w:rPr>
        <w:t xml:space="preserve">the </w:t>
      </w:r>
      <w:r w:rsidR="00B938DA" w:rsidRPr="00F101A0">
        <w:rPr>
          <w:rFonts w:ascii="Arial" w:hAnsi="Arial" w:cs="Arial"/>
          <w:sz w:val="24"/>
          <w:szCs w:val="24"/>
        </w:rPr>
        <w:t xml:space="preserve">MRAs would be adopted by </w:t>
      </w:r>
      <w:r w:rsidR="00701F64">
        <w:rPr>
          <w:rFonts w:ascii="Arial" w:hAnsi="Arial" w:cs="Arial"/>
          <w:sz w:val="24"/>
          <w:szCs w:val="24"/>
        </w:rPr>
        <w:t xml:space="preserve">the </w:t>
      </w:r>
      <w:r w:rsidR="00B938DA" w:rsidRPr="00F101A0">
        <w:rPr>
          <w:rFonts w:ascii="Arial" w:hAnsi="Arial" w:cs="Arial"/>
          <w:sz w:val="24"/>
          <w:szCs w:val="24"/>
        </w:rPr>
        <w:t>CMT</w:t>
      </w:r>
      <w:r w:rsidR="001605E9" w:rsidRPr="00F101A0">
        <w:rPr>
          <w:rFonts w:ascii="Arial" w:hAnsi="Arial" w:cs="Arial"/>
          <w:sz w:val="24"/>
          <w:szCs w:val="24"/>
        </w:rPr>
        <w:t xml:space="preserve">. This </w:t>
      </w:r>
      <w:r w:rsidR="008F41B1" w:rsidRPr="00F101A0">
        <w:rPr>
          <w:rFonts w:ascii="Arial" w:hAnsi="Arial" w:cs="Arial"/>
          <w:sz w:val="24"/>
          <w:szCs w:val="24"/>
        </w:rPr>
        <w:t>implied</w:t>
      </w:r>
      <w:r w:rsidR="009079FB" w:rsidRPr="00F101A0">
        <w:rPr>
          <w:rFonts w:ascii="Arial" w:hAnsi="Arial" w:cs="Arial"/>
          <w:sz w:val="24"/>
          <w:szCs w:val="24"/>
        </w:rPr>
        <w:t xml:space="preserve"> defer</w:t>
      </w:r>
      <w:r w:rsidR="008F41B1" w:rsidRPr="00F101A0">
        <w:rPr>
          <w:rFonts w:ascii="Arial" w:hAnsi="Arial" w:cs="Arial"/>
          <w:sz w:val="24"/>
          <w:szCs w:val="24"/>
        </w:rPr>
        <w:t>ring</w:t>
      </w:r>
      <w:r w:rsidR="009079FB" w:rsidRPr="00F101A0">
        <w:rPr>
          <w:rFonts w:ascii="Arial" w:hAnsi="Arial" w:cs="Arial"/>
          <w:sz w:val="24"/>
          <w:szCs w:val="24"/>
        </w:rPr>
        <w:t xml:space="preserve"> the decision</w:t>
      </w:r>
      <w:r w:rsidR="00A645B6" w:rsidRPr="00F101A0">
        <w:rPr>
          <w:rFonts w:ascii="Arial" w:hAnsi="Arial" w:cs="Arial"/>
          <w:sz w:val="24"/>
          <w:szCs w:val="24"/>
        </w:rPr>
        <w:t xml:space="preserve"> </w:t>
      </w:r>
      <w:r w:rsidR="00E35091" w:rsidRPr="00F101A0">
        <w:rPr>
          <w:rFonts w:ascii="Arial" w:hAnsi="Arial" w:cs="Arial"/>
          <w:sz w:val="24"/>
          <w:szCs w:val="24"/>
        </w:rPr>
        <w:t xml:space="preserve">to the time of </w:t>
      </w:r>
      <w:r w:rsidR="001605E9" w:rsidRPr="00F101A0">
        <w:rPr>
          <w:rFonts w:ascii="Arial" w:hAnsi="Arial" w:cs="Arial"/>
          <w:sz w:val="24"/>
          <w:szCs w:val="24"/>
        </w:rPr>
        <w:t>finalis</w:t>
      </w:r>
      <w:r w:rsidR="00C94951" w:rsidRPr="00F101A0">
        <w:rPr>
          <w:rFonts w:ascii="Arial" w:hAnsi="Arial" w:cs="Arial"/>
          <w:sz w:val="24"/>
          <w:szCs w:val="24"/>
        </w:rPr>
        <w:t xml:space="preserve">ing an MRA, at </w:t>
      </w:r>
      <w:r w:rsidR="00A9762F" w:rsidRPr="00F101A0">
        <w:rPr>
          <w:rFonts w:ascii="Arial" w:hAnsi="Arial" w:cs="Arial"/>
          <w:sz w:val="24"/>
          <w:szCs w:val="24"/>
        </w:rPr>
        <w:t>which</w:t>
      </w:r>
      <w:r w:rsidR="008F41B1" w:rsidRPr="00F101A0">
        <w:rPr>
          <w:rFonts w:ascii="Arial" w:hAnsi="Arial" w:cs="Arial"/>
          <w:sz w:val="24"/>
          <w:szCs w:val="24"/>
        </w:rPr>
        <w:t xml:space="preserve"> point TNF</w:t>
      </w:r>
      <w:r w:rsidR="009079FB" w:rsidRPr="00F101A0">
        <w:rPr>
          <w:rFonts w:ascii="Arial" w:hAnsi="Arial" w:cs="Arial"/>
          <w:sz w:val="24"/>
          <w:szCs w:val="24"/>
        </w:rPr>
        <w:t xml:space="preserve">-Services </w:t>
      </w:r>
      <w:r w:rsidR="008F41B1" w:rsidRPr="00F101A0">
        <w:rPr>
          <w:rFonts w:ascii="Arial" w:hAnsi="Arial" w:cs="Arial"/>
          <w:sz w:val="24"/>
          <w:szCs w:val="24"/>
        </w:rPr>
        <w:t>c</w:t>
      </w:r>
      <w:r w:rsidR="009079FB" w:rsidRPr="00F101A0">
        <w:rPr>
          <w:rFonts w:ascii="Arial" w:hAnsi="Arial" w:cs="Arial"/>
          <w:sz w:val="24"/>
          <w:szCs w:val="24"/>
        </w:rPr>
        <w:t xml:space="preserve">ould </w:t>
      </w:r>
      <w:r w:rsidR="008F41B1" w:rsidRPr="00F101A0">
        <w:rPr>
          <w:rFonts w:ascii="Arial" w:hAnsi="Arial" w:cs="Arial"/>
          <w:sz w:val="24"/>
          <w:szCs w:val="24"/>
        </w:rPr>
        <w:t>decide to</w:t>
      </w:r>
      <w:r w:rsidR="003C3E48" w:rsidRPr="00F101A0">
        <w:rPr>
          <w:rFonts w:ascii="Arial" w:hAnsi="Arial" w:cs="Arial"/>
          <w:sz w:val="24"/>
          <w:szCs w:val="24"/>
        </w:rPr>
        <w:t xml:space="preserve"> recommend to the CMT</w:t>
      </w:r>
      <w:r w:rsidR="001E1970" w:rsidRPr="00F101A0">
        <w:rPr>
          <w:rFonts w:ascii="Arial" w:hAnsi="Arial" w:cs="Arial"/>
          <w:sz w:val="24"/>
          <w:szCs w:val="24"/>
        </w:rPr>
        <w:t xml:space="preserve"> </w:t>
      </w:r>
      <w:r w:rsidR="00583725" w:rsidRPr="00F101A0">
        <w:rPr>
          <w:rFonts w:ascii="Arial" w:hAnsi="Arial" w:cs="Arial"/>
          <w:sz w:val="24"/>
          <w:szCs w:val="24"/>
        </w:rPr>
        <w:t xml:space="preserve">whether </w:t>
      </w:r>
      <w:r w:rsidR="006C6527" w:rsidRPr="00F101A0">
        <w:rPr>
          <w:rFonts w:ascii="Arial" w:hAnsi="Arial" w:cs="Arial"/>
          <w:sz w:val="24"/>
          <w:szCs w:val="24"/>
        </w:rPr>
        <w:t>the final MRAs</w:t>
      </w:r>
      <w:r w:rsidR="00F40D80" w:rsidRPr="00F101A0">
        <w:rPr>
          <w:rFonts w:ascii="Arial" w:hAnsi="Arial" w:cs="Arial"/>
          <w:sz w:val="24"/>
          <w:szCs w:val="24"/>
        </w:rPr>
        <w:t xml:space="preserve"> </w:t>
      </w:r>
      <w:r w:rsidR="00A9762F" w:rsidRPr="00F101A0">
        <w:rPr>
          <w:rFonts w:ascii="Arial" w:hAnsi="Arial" w:cs="Arial"/>
          <w:sz w:val="24"/>
          <w:szCs w:val="24"/>
        </w:rPr>
        <w:t xml:space="preserve">would </w:t>
      </w:r>
      <w:r w:rsidR="00F40D80" w:rsidRPr="00F101A0">
        <w:rPr>
          <w:rFonts w:ascii="Arial" w:hAnsi="Arial" w:cs="Arial"/>
          <w:sz w:val="24"/>
          <w:szCs w:val="24"/>
        </w:rPr>
        <w:t xml:space="preserve">constitute an </w:t>
      </w:r>
      <w:r w:rsidR="00F64F15" w:rsidRPr="00F101A0">
        <w:rPr>
          <w:rFonts w:ascii="Arial" w:hAnsi="Arial" w:cs="Arial"/>
          <w:sz w:val="24"/>
          <w:szCs w:val="24"/>
        </w:rPr>
        <w:t xml:space="preserve">additional commitment in </w:t>
      </w:r>
      <w:r w:rsidR="006A075B" w:rsidRPr="00F101A0">
        <w:rPr>
          <w:rFonts w:ascii="Arial" w:hAnsi="Arial" w:cs="Arial"/>
          <w:sz w:val="24"/>
          <w:szCs w:val="24"/>
        </w:rPr>
        <w:t>a Member State’s List/</w:t>
      </w:r>
      <w:r w:rsidR="003C3E48" w:rsidRPr="00F101A0">
        <w:rPr>
          <w:rFonts w:ascii="Arial" w:hAnsi="Arial" w:cs="Arial"/>
          <w:sz w:val="24"/>
          <w:szCs w:val="24"/>
        </w:rPr>
        <w:t>schedule</w:t>
      </w:r>
      <w:r w:rsidR="006A075B" w:rsidRPr="00F101A0">
        <w:rPr>
          <w:rFonts w:ascii="Arial" w:hAnsi="Arial" w:cs="Arial"/>
          <w:sz w:val="24"/>
          <w:szCs w:val="24"/>
        </w:rPr>
        <w:t xml:space="preserve"> of commitments or </w:t>
      </w:r>
      <w:r w:rsidR="0016582F" w:rsidRPr="00F101A0">
        <w:rPr>
          <w:rFonts w:ascii="Arial" w:hAnsi="Arial" w:cs="Arial"/>
          <w:sz w:val="24"/>
          <w:szCs w:val="24"/>
        </w:rPr>
        <w:t>an a</w:t>
      </w:r>
      <w:r w:rsidR="00F40D80" w:rsidRPr="00F101A0">
        <w:rPr>
          <w:rFonts w:ascii="Arial" w:hAnsi="Arial" w:cs="Arial"/>
          <w:sz w:val="24"/>
          <w:szCs w:val="24"/>
        </w:rPr>
        <w:t xml:space="preserve">nnex under </w:t>
      </w:r>
      <w:r w:rsidR="0016582F" w:rsidRPr="00F101A0">
        <w:rPr>
          <w:rFonts w:ascii="Arial" w:hAnsi="Arial" w:cs="Arial"/>
          <w:sz w:val="24"/>
          <w:szCs w:val="24"/>
        </w:rPr>
        <w:t>A</w:t>
      </w:r>
      <w:r w:rsidR="00F40D80" w:rsidRPr="00F101A0">
        <w:rPr>
          <w:rFonts w:ascii="Arial" w:hAnsi="Arial" w:cs="Arial"/>
          <w:sz w:val="24"/>
          <w:szCs w:val="24"/>
        </w:rPr>
        <w:t>rticle 2</w:t>
      </w:r>
      <w:r w:rsidR="00CD1951" w:rsidRPr="00F101A0">
        <w:rPr>
          <w:rFonts w:ascii="Arial" w:hAnsi="Arial" w:cs="Arial"/>
          <w:sz w:val="24"/>
          <w:szCs w:val="24"/>
        </w:rPr>
        <w:t>6</w:t>
      </w:r>
      <w:r w:rsidR="00F40D80" w:rsidRPr="00F101A0">
        <w:rPr>
          <w:rFonts w:ascii="Arial" w:hAnsi="Arial" w:cs="Arial"/>
          <w:sz w:val="24"/>
          <w:szCs w:val="24"/>
        </w:rPr>
        <w:t xml:space="preserve"> of the Protocol</w:t>
      </w:r>
      <w:r w:rsidR="008F41B1" w:rsidRPr="00F101A0">
        <w:rPr>
          <w:rFonts w:ascii="Arial" w:hAnsi="Arial" w:cs="Arial"/>
          <w:sz w:val="24"/>
          <w:szCs w:val="24"/>
        </w:rPr>
        <w:t>, depending on the content of the MRA</w:t>
      </w:r>
      <w:r w:rsidR="00F64F15" w:rsidRPr="00F101A0">
        <w:rPr>
          <w:rFonts w:ascii="Arial" w:hAnsi="Arial" w:cs="Arial"/>
          <w:sz w:val="24"/>
          <w:szCs w:val="24"/>
        </w:rPr>
        <w:t xml:space="preserve">. Some </w:t>
      </w:r>
      <w:r w:rsidR="001602B6" w:rsidRPr="00F101A0">
        <w:rPr>
          <w:rFonts w:ascii="Arial" w:hAnsi="Arial" w:cs="Arial"/>
          <w:sz w:val="24"/>
          <w:szCs w:val="24"/>
        </w:rPr>
        <w:t xml:space="preserve">Member States </w:t>
      </w:r>
      <w:r w:rsidR="002345BE" w:rsidRPr="00F101A0">
        <w:rPr>
          <w:rFonts w:ascii="Arial" w:hAnsi="Arial" w:cs="Arial"/>
          <w:sz w:val="24"/>
          <w:szCs w:val="24"/>
        </w:rPr>
        <w:t xml:space="preserve">were of the view </w:t>
      </w:r>
      <w:r w:rsidR="004B2CA3" w:rsidRPr="00F101A0">
        <w:rPr>
          <w:rFonts w:ascii="Arial" w:hAnsi="Arial" w:cs="Arial"/>
          <w:sz w:val="24"/>
          <w:szCs w:val="24"/>
        </w:rPr>
        <w:t xml:space="preserve">that the Guidelines would be incomplete if </w:t>
      </w:r>
      <w:r w:rsidR="00CD1951" w:rsidRPr="00F101A0">
        <w:rPr>
          <w:rFonts w:ascii="Arial" w:hAnsi="Arial" w:cs="Arial"/>
          <w:sz w:val="24"/>
          <w:szCs w:val="24"/>
        </w:rPr>
        <w:t>they</w:t>
      </w:r>
      <w:r w:rsidR="0016582F" w:rsidRPr="00F101A0">
        <w:rPr>
          <w:rFonts w:ascii="Arial" w:hAnsi="Arial" w:cs="Arial"/>
          <w:sz w:val="24"/>
          <w:szCs w:val="24"/>
        </w:rPr>
        <w:t xml:space="preserve"> d</w:t>
      </w:r>
      <w:r w:rsidR="00701F64">
        <w:rPr>
          <w:rFonts w:ascii="Arial" w:hAnsi="Arial" w:cs="Arial"/>
          <w:sz w:val="24"/>
          <w:szCs w:val="24"/>
        </w:rPr>
        <w:t>id</w:t>
      </w:r>
      <w:r w:rsidR="0016582F" w:rsidRPr="00F101A0">
        <w:rPr>
          <w:rFonts w:ascii="Arial" w:hAnsi="Arial" w:cs="Arial"/>
          <w:sz w:val="24"/>
          <w:szCs w:val="24"/>
        </w:rPr>
        <w:t xml:space="preserve"> </w:t>
      </w:r>
      <w:r w:rsidR="00244456" w:rsidRPr="00F101A0">
        <w:rPr>
          <w:rFonts w:ascii="Arial" w:hAnsi="Arial" w:cs="Arial"/>
          <w:sz w:val="24"/>
          <w:szCs w:val="24"/>
        </w:rPr>
        <w:t xml:space="preserve">not include the </w:t>
      </w:r>
      <w:r w:rsidR="0072120B" w:rsidRPr="00F101A0">
        <w:rPr>
          <w:rFonts w:ascii="Arial" w:hAnsi="Arial" w:cs="Arial"/>
          <w:sz w:val="24"/>
          <w:szCs w:val="24"/>
        </w:rPr>
        <w:t xml:space="preserve">final steps </w:t>
      </w:r>
      <w:r w:rsidR="0005450B" w:rsidRPr="00F101A0">
        <w:rPr>
          <w:rFonts w:ascii="Arial" w:hAnsi="Arial" w:cs="Arial"/>
          <w:sz w:val="24"/>
          <w:szCs w:val="24"/>
        </w:rPr>
        <w:t xml:space="preserve">including legal scrubbing </w:t>
      </w:r>
      <w:r w:rsidR="000A7B6E" w:rsidRPr="00F101A0">
        <w:rPr>
          <w:rFonts w:ascii="Arial" w:hAnsi="Arial" w:cs="Arial"/>
          <w:sz w:val="24"/>
          <w:szCs w:val="24"/>
        </w:rPr>
        <w:t xml:space="preserve">or clearance </w:t>
      </w:r>
      <w:r w:rsidR="0005450B" w:rsidRPr="00F101A0">
        <w:rPr>
          <w:rFonts w:ascii="Arial" w:hAnsi="Arial" w:cs="Arial"/>
          <w:sz w:val="24"/>
          <w:szCs w:val="24"/>
        </w:rPr>
        <w:t>and</w:t>
      </w:r>
      <w:r w:rsidR="0072120B" w:rsidRPr="00F101A0">
        <w:rPr>
          <w:rFonts w:ascii="Arial" w:hAnsi="Arial" w:cs="Arial"/>
          <w:sz w:val="24"/>
          <w:szCs w:val="24"/>
        </w:rPr>
        <w:t xml:space="preserve"> </w:t>
      </w:r>
      <w:r w:rsidR="007A5EC6" w:rsidRPr="00F101A0">
        <w:rPr>
          <w:rFonts w:ascii="Arial" w:hAnsi="Arial" w:cs="Arial"/>
          <w:sz w:val="24"/>
          <w:szCs w:val="24"/>
        </w:rPr>
        <w:t>whether</w:t>
      </w:r>
      <w:r w:rsidR="005758D9" w:rsidRPr="00F101A0">
        <w:rPr>
          <w:rFonts w:ascii="Arial" w:hAnsi="Arial" w:cs="Arial"/>
          <w:sz w:val="24"/>
          <w:szCs w:val="24"/>
        </w:rPr>
        <w:t xml:space="preserve"> </w:t>
      </w:r>
      <w:r w:rsidR="0072120B" w:rsidRPr="00F101A0">
        <w:rPr>
          <w:rFonts w:ascii="Arial" w:hAnsi="Arial" w:cs="Arial"/>
          <w:sz w:val="24"/>
          <w:szCs w:val="24"/>
        </w:rPr>
        <w:t xml:space="preserve">the </w:t>
      </w:r>
      <w:r w:rsidR="00E164B3" w:rsidRPr="00F101A0">
        <w:rPr>
          <w:rFonts w:ascii="Arial" w:hAnsi="Arial" w:cs="Arial"/>
          <w:sz w:val="24"/>
          <w:szCs w:val="24"/>
        </w:rPr>
        <w:t xml:space="preserve">final </w:t>
      </w:r>
      <w:r w:rsidR="0072120B" w:rsidRPr="00F101A0">
        <w:rPr>
          <w:rFonts w:ascii="Arial" w:hAnsi="Arial" w:cs="Arial"/>
          <w:sz w:val="24"/>
          <w:szCs w:val="24"/>
        </w:rPr>
        <w:t xml:space="preserve">MRAs would be adopted </w:t>
      </w:r>
      <w:r w:rsidR="00F24EA5" w:rsidRPr="00F101A0">
        <w:rPr>
          <w:rFonts w:ascii="Arial" w:hAnsi="Arial" w:cs="Arial"/>
          <w:sz w:val="24"/>
          <w:szCs w:val="24"/>
        </w:rPr>
        <w:t xml:space="preserve">by CMT and be </w:t>
      </w:r>
      <w:r w:rsidR="00792142" w:rsidRPr="00F101A0">
        <w:rPr>
          <w:rFonts w:ascii="Arial" w:hAnsi="Arial" w:cs="Arial"/>
          <w:sz w:val="24"/>
          <w:szCs w:val="24"/>
        </w:rPr>
        <w:t>annexed</w:t>
      </w:r>
      <w:r w:rsidR="00F24EA5" w:rsidRPr="00F101A0">
        <w:rPr>
          <w:rFonts w:ascii="Arial" w:hAnsi="Arial" w:cs="Arial"/>
          <w:sz w:val="24"/>
          <w:szCs w:val="24"/>
        </w:rPr>
        <w:t xml:space="preserve"> to the Protocol</w:t>
      </w:r>
      <w:r w:rsidR="00644BB7" w:rsidRPr="00F101A0">
        <w:rPr>
          <w:rFonts w:ascii="Arial" w:hAnsi="Arial" w:cs="Arial"/>
          <w:sz w:val="24"/>
          <w:szCs w:val="24"/>
        </w:rPr>
        <w:t xml:space="preserve">. In addition, some Member States were </w:t>
      </w:r>
      <w:r w:rsidR="009506E2" w:rsidRPr="00F101A0">
        <w:rPr>
          <w:rFonts w:ascii="Arial" w:hAnsi="Arial" w:cs="Arial"/>
          <w:sz w:val="24"/>
          <w:szCs w:val="24"/>
        </w:rPr>
        <w:t>unsure whether the MRAs are to be de</w:t>
      </w:r>
      <w:r w:rsidR="004A2EA0" w:rsidRPr="00F101A0">
        <w:rPr>
          <w:rFonts w:ascii="Arial" w:hAnsi="Arial" w:cs="Arial"/>
          <w:sz w:val="24"/>
          <w:szCs w:val="24"/>
        </w:rPr>
        <w:t>veloped under Article 7</w:t>
      </w:r>
      <w:r w:rsidR="007F008B" w:rsidRPr="00F101A0">
        <w:rPr>
          <w:rFonts w:ascii="Arial" w:hAnsi="Arial" w:cs="Arial"/>
          <w:sz w:val="24"/>
          <w:szCs w:val="24"/>
        </w:rPr>
        <w:t xml:space="preserve"> only or both Article 7</w:t>
      </w:r>
      <w:r w:rsidR="004A2EA0" w:rsidRPr="00F101A0">
        <w:rPr>
          <w:rFonts w:ascii="Arial" w:hAnsi="Arial" w:cs="Arial"/>
          <w:sz w:val="24"/>
          <w:szCs w:val="24"/>
        </w:rPr>
        <w:t xml:space="preserve"> and Article 24</w:t>
      </w:r>
      <w:r w:rsidR="007F008B" w:rsidRPr="00F101A0">
        <w:rPr>
          <w:rFonts w:ascii="Arial" w:hAnsi="Arial" w:cs="Arial"/>
          <w:sz w:val="24"/>
          <w:szCs w:val="24"/>
        </w:rPr>
        <w:t xml:space="preserve"> of</w:t>
      </w:r>
      <w:r w:rsidR="00B47E43" w:rsidRPr="00F101A0">
        <w:rPr>
          <w:rFonts w:ascii="Arial" w:hAnsi="Arial" w:cs="Arial"/>
          <w:sz w:val="24"/>
          <w:szCs w:val="24"/>
        </w:rPr>
        <w:t xml:space="preserve"> the Protocol</w:t>
      </w:r>
      <w:r w:rsidR="007F008B" w:rsidRPr="00F101A0">
        <w:rPr>
          <w:rFonts w:ascii="Arial" w:hAnsi="Arial" w:cs="Arial"/>
          <w:sz w:val="24"/>
          <w:szCs w:val="24"/>
        </w:rPr>
        <w:t>.</w:t>
      </w:r>
      <w:r w:rsidR="00C07DF4" w:rsidRPr="00F101A0">
        <w:rPr>
          <w:rFonts w:ascii="Arial" w:hAnsi="Arial" w:cs="Arial"/>
          <w:sz w:val="24"/>
          <w:szCs w:val="24"/>
        </w:rPr>
        <w:t xml:space="preserve"> </w:t>
      </w:r>
      <w:r w:rsidRPr="00F101A0">
        <w:rPr>
          <w:rFonts w:ascii="Arial" w:hAnsi="Arial" w:cs="Arial"/>
          <w:sz w:val="24"/>
          <w:szCs w:val="24"/>
        </w:rPr>
        <w:t xml:space="preserve"> </w:t>
      </w:r>
    </w:p>
    <w:p w14:paraId="11A53F09" w14:textId="39F3084A" w:rsidR="006476CF" w:rsidRPr="00F101A0" w:rsidRDefault="000A7B6E" w:rsidP="00F101A0">
      <w:pPr>
        <w:pStyle w:val="ListParagraph"/>
        <w:numPr>
          <w:ilvl w:val="0"/>
          <w:numId w:val="23"/>
        </w:numPr>
        <w:tabs>
          <w:tab w:val="left" w:pos="851"/>
        </w:tabs>
        <w:spacing w:before="240" w:after="0" w:line="312" w:lineRule="auto"/>
        <w:ind w:hanging="851"/>
        <w:jc w:val="both"/>
      </w:pPr>
      <w:r w:rsidRPr="00F101A0">
        <w:rPr>
          <w:rFonts w:ascii="Arial" w:hAnsi="Arial" w:cs="Arial"/>
          <w:sz w:val="24"/>
          <w:szCs w:val="24"/>
        </w:rPr>
        <w:t>It was noted that</w:t>
      </w:r>
      <w:r w:rsidR="0082249D" w:rsidRPr="00F101A0">
        <w:rPr>
          <w:rFonts w:ascii="Arial" w:hAnsi="Arial" w:cs="Arial"/>
          <w:sz w:val="24"/>
          <w:szCs w:val="24"/>
        </w:rPr>
        <w:t xml:space="preserve"> the </w:t>
      </w:r>
      <w:r w:rsidR="00256EE5" w:rsidRPr="00F101A0">
        <w:rPr>
          <w:rFonts w:ascii="Arial" w:hAnsi="Arial" w:cs="Arial"/>
          <w:sz w:val="24"/>
          <w:szCs w:val="24"/>
        </w:rPr>
        <w:t xml:space="preserve">legal </w:t>
      </w:r>
      <w:r w:rsidR="00CC503C" w:rsidRPr="00F101A0">
        <w:rPr>
          <w:rFonts w:ascii="Arial" w:hAnsi="Arial" w:cs="Arial"/>
          <w:sz w:val="24"/>
          <w:szCs w:val="24"/>
        </w:rPr>
        <w:t xml:space="preserve">scrubbing or </w:t>
      </w:r>
      <w:r w:rsidR="00D322B4" w:rsidRPr="00F101A0">
        <w:rPr>
          <w:rFonts w:ascii="Arial" w:hAnsi="Arial" w:cs="Arial"/>
          <w:sz w:val="24"/>
          <w:szCs w:val="24"/>
        </w:rPr>
        <w:t xml:space="preserve">clearance </w:t>
      </w:r>
      <w:r w:rsidR="008F41B1" w:rsidRPr="00F101A0">
        <w:rPr>
          <w:rFonts w:ascii="Arial" w:hAnsi="Arial" w:cs="Arial"/>
          <w:sz w:val="24"/>
          <w:szCs w:val="24"/>
        </w:rPr>
        <w:t xml:space="preserve">of the final MRAs </w:t>
      </w:r>
      <w:r w:rsidR="00A11D1D" w:rsidRPr="00F101A0">
        <w:rPr>
          <w:rFonts w:ascii="Arial" w:hAnsi="Arial" w:cs="Arial"/>
          <w:sz w:val="24"/>
          <w:szCs w:val="24"/>
        </w:rPr>
        <w:t>by the Ministers of Justice</w:t>
      </w:r>
      <w:r w:rsidR="0058050F" w:rsidRPr="00F101A0">
        <w:rPr>
          <w:rFonts w:ascii="Arial" w:hAnsi="Arial" w:cs="Arial"/>
          <w:sz w:val="24"/>
          <w:szCs w:val="24"/>
        </w:rPr>
        <w:t xml:space="preserve"> and </w:t>
      </w:r>
      <w:r w:rsidR="00A11D1D" w:rsidRPr="00F101A0">
        <w:rPr>
          <w:rFonts w:ascii="Arial" w:hAnsi="Arial" w:cs="Arial"/>
          <w:sz w:val="24"/>
          <w:szCs w:val="24"/>
        </w:rPr>
        <w:t>Attorney</w:t>
      </w:r>
      <w:r w:rsidR="0058050F" w:rsidRPr="00F101A0">
        <w:rPr>
          <w:rFonts w:ascii="Arial" w:hAnsi="Arial" w:cs="Arial"/>
          <w:sz w:val="24"/>
          <w:szCs w:val="24"/>
        </w:rPr>
        <w:t xml:space="preserve"> </w:t>
      </w:r>
      <w:r w:rsidR="00A11D1D" w:rsidRPr="00F101A0">
        <w:rPr>
          <w:rFonts w:ascii="Arial" w:hAnsi="Arial" w:cs="Arial"/>
          <w:sz w:val="24"/>
          <w:szCs w:val="24"/>
        </w:rPr>
        <w:t>Generals</w:t>
      </w:r>
      <w:r w:rsidR="00256EE5" w:rsidRPr="00F101A0">
        <w:rPr>
          <w:rFonts w:ascii="Arial" w:hAnsi="Arial" w:cs="Arial"/>
          <w:sz w:val="24"/>
          <w:szCs w:val="24"/>
        </w:rPr>
        <w:t xml:space="preserve"> </w:t>
      </w:r>
      <w:r w:rsidR="00CC503C" w:rsidRPr="00F101A0">
        <w:rPr>
          <w:rFonts w:ascii="Arial" w:hAnsi="Arial" w:cs="Arial"/>
          <w:sz w:val="24"/>
          <w:szCs w:val="24"/>
        </w:rPr>
        <w:t xml:space="preserve">would come after </w:t>
      </w:r>
      <w:r w:rsidR="00090F4D" w:rsidRPr="00F101A0">
        <w:rPr>
          <w:rFonts w:ascii="Arial" w:hAnsi="Arial" w:cs="Arial"/>
          <w:sz w:val="24"/>
          <w:szCs w:val="24"/>
        </w:rPr>
        <w:t xml:space="preserve">the CMT </w:t>
      </w:r>
      <w:r w:rsidR="008F41B1" w:rsidRPr="00F101A0">
        <w:rPr>
          <w:rFonts w:ascii="Arial" w:hAnsi="Arial" w:cs="Arial"/>
          <w:sz w:val="24"/>
          <w:szCs w:val="24"/>
        </w:rPr>
        <w:t xml:space="preserve">had </w:t>
      </w:r>
      <w:r w:rsidR="004E363A" w:rsidRPr="00F101A0">
        <w:rPr>
          <w:rFonts w:ascii="Arial" w:hAnsi="Arial" w:cs="Arial"/>
          <w:sz w:val="24"/>
          <w:szCs w:val="24"/>
        </w:rPr>
        <w:t>approv</w:t>
      </w:r>
      <w:r w:rsidR="008F41B1" w:rsidRPr="00F101A0">
        <w:rPr>
          <w:rFonts w:ascii="Arial" w:hAnsi="Arial" w:cs="Arial"/>
          <w:sz w:val="24"/>
          <w:szCs w:val="24"/>
        </w:rPr>
        <w:t>ed</w:t>
      </w:r>
      <w:r w:rsidR="004E363A" w:rsidRPr="00F101A0">
        <w:rPr>
          <w:rFonts w:ascii="Arial" w:hAnsi="Arial" w:cs="Arial"/>
          <w:sz w:val="24"/>
          <w:szCs w:val="24"/>
        </w:rPr>
        <w:t xml:space="preserve"> </w:t>
      </w:r>
      <w:r w:rsidR="00090F4D" w:rsidRPr="00F101A0">
        <w:rPr>
          <w:rFonts w:ascii="Arial" w:hAnsi="Arial" w:cs="Arial"/>
          <w:sz w:val="24"/>
          <w:szCs w:val="24"/>
        </w:rPr>
        <w:t xml:space="preserve">the MRAs and thus conclude </w:t>
      </w:r>
      <w:r w:rsidR="000F1764" w:rsidRPr="00F101A0">
        <w:rPr>
          <w:rFonts w:ascii="Arial" w:hAnsi="Arial" w:cs="Arial"/>
          <w:sz w:val="24"/>
          <w:szCs w:val="24"/>
        </w:rPr>
        <w:t>technical</w:t>
      </w:r>
      <w:r w:rsidR="00090F4D" w:rsidRPr="00F101A0">
        <w:rPr>
          <w:rFonts w:ascii="Arial" w:hAnsi="Arial" w:cs="Arial"/>
          <w:sz w:val="24"/>
          <w:szCs w:val="24"/>
        </w:rPr>
        <w:t xml:space="preserve"> negotiation</w:t>
      </w:r>
      <w:r w:rsidR="008F41B1" w:rsidRPr="00F101A0">
        <w:rPr>
          <w:rFonts w:ascii="Arial" w:hAnsi="Arial" w:cs="Arial"/>
          <w:sz w:val="24"/>
          <w:szCs w:val="24"/>
        </w:rPr>
        <w:t>s</w:t>
      </w:r>
      <w:r w:rsidR="004E363A" w:rsidRPr="00F101A0">
        <w:rPr>
          <w:rFonts w:ascii="Arial" w:hAnsi="Arial" w:cs="Arial"/>
          <w:sz w:val="24"/>
          <w:szCs w:val="24"/>
        </w:rPr>
        <w:t>.</w:t>
      </w:r>
      <w:r w:rsidR="007C0299" w:rsidRPr="00F101A0">
        <w:rPr>
          <w:rFonts w:ascii="Arial" w:hAnsi="Arial" w:cs="Arial"/>
          <w:sz w:val="24"/>
          <w:szCs w:val="24"/>
        </w:rPr>
        <w:t xml:space="preserve"> </w:t>
      </w:r>
      <w:r w:rsidR="000F1764" w:rsidRPr="00F101A0">
        <w:rPr>
          <w:rFonts w:ascii="Arial" w:hAnsi="Arial" w:cs="Arial"/>
          <w:sz w:val="24"/>
          <w:szCs w:val="24"/>
        </w:rPr>
        <w:t xml:space="preserve">Hence, the CMT would recommend the final text to the Committee of Ministers of Justice and Attorney </w:t>
      </w:r>
      <w:r w:rsidR="001B40C1" w:rsidRPr="00F101A0">
        <w:rPr>
          <w:rFonts w:ascii="Arial" w:hAnsi="Arial" w:cs="Arial"/>
          <w:sz w:val="24"/>
          <w:szCs w:val="24"/>
        </w:rPr>
        <w:t>Generals for</w:t>
      </w:r>
      <w:r w:rsidR="00DF5B95" w:rsidRPr="00F101A0">
        <w:rPr>
          <w:rFonts w:ascii="Arial" w:hAnsi="Arial" w:cs="Arial"/>
          <w:sz w:val="24"/>
          <w:szCs w:val="24"/>
        </w:rPr>
        <w:t xml:space="preserve"> legal clearance, who may refer the </w:t>
      </w:r>
      <w:r w:rsidR="001F0F57" w:rsidRPr="00F101A0">
        <w:rPr>
          <w:rFonts w:ascii="Arial" w:hAnsi="Arial" w:cs="Arial"/>
          <w:sz w:val="24"/>
          <w:szCs w:val="24"/>
        </w:rPr>
        <w:t xml:space="preserve">text back to CMT for final adoption highlighting any </w:t>
      </w:r>
      <w:r w:rsidR="00355FCA" w:rsidRPr="00F101A0">
        <w:rPr>
          <w:rFonts w:ascii="Arial" w:hAnsi="Arial" w:cs="Arial"/>
          <w:sz w:val="24"/>
          <w:szCs w:val="24"/>
        </w:rPr>
        <w:t>issue</w:t>
      </w:r>
      <w:r w:rsidR="008F41B1" w:rsidRPr="00F101A0">
        <w:rPr>
          <w:rFonts w:ascii="Arial" w:hAnsi="Arial" w:cs="Arial"/>
          <w:sz w:val="24"/>
          <w:szCs w:val="24"/>
        </w:rPr>
        <w:t>s</w:t>
      </w:r>
      <w:r w:rsidR="00355FCA" w:rsidRPr="00F101A0">
        <w:rPr>
          <w:rFonts w:ascii="Arial" w:hAnsi="Arial" w:cs="Arial"/>
          <w:sz w:val="24"/>
          <w:szCs w:val="24"/>
        </w:rPr>
        <w:t xml:space="preserve"> that require CMT’s attention. </w:t>
      </w:r>
    </w:p>
    <w:p w14:paraId="5E49E03E" w14:textId="5ABE07C5" w:rsidR="008702C3" w:rsidRPr="00F101A0" w:rsidRDefault="008702C3" w:rsidP="00F101A0">
      <w:pPr>
        <w:pStyle w:val="ListParagraph"/>
        <w:numPr>
          <w:ilvl w:val="0"/>
          <w:numId w:val="23"/>
        </w:numPr>
        <w:shd w:val="clear" w:color="auto" w:fill="D9D9D9" w:themeFill="background1" w:themeFillShade="D9"/>
        <w:tabs>
          <w:tab w:val="left" w:pos="851"/>
        </w:tabs>
        <w:spacing w:before="240" w:after="0" w:line="312" w:lineRule="auto"/>
        <w:ind w:left="1440" w:hanging="720"/>
        <w:jc w:val="both"/>
        <w:rPr>
          <w:rFonts w:ascii="Arial" w:hAnsi="Arial" w:cs="Arial"/>
          <w:sz w:val="24"/>
          <w:szCs w:val="24"/>
          <w:u w:val="single"/>
        </w:rPr>
      </w:pPr>
      <w:r w:rsidRPr="00F101A0">
        <w:rPr>
          <w:rFonts w:ascii="Arial" w:hAnsi="Arial" w:cs="Arial"/>
          <w:sz w:val="24"/>
          <w:szCs w:val="24"/>
          <w:u w:val="single"/>
        </w:rPr>
        <w:t>Conclusion 9:</w:t>
      </w:r>
      <w:r w:rsidR="00F62A89" w:rsidRPr="00F101A0">
        <w:rPr>
          <w:rFonts w:ascii="Arial" w:hAnsi="Arial" w:cs="Arial"/>
          <w:sz w:val="24"/>
          <w:szCs w:val="24"/>
          <w:u w:val="single"/>
        </w:rPr>
        <w:t xml:space="preserve"> Negotiating Structures and Steps [</w:t>
      </w:r>
      <w:r w:rsidR="001C3385" w:rsidRPr="00F101A0">
        <w:rPr>
          <w:rFonts w:ascii="Arial" w:hAnsi="Arial" w:cs="Arial"/>
          <w:sz w:val="24"/>
          <w:szCs w:val="24"/>
          <w:u w:val="single"/>
        </w:rPr>
        <w:t>Section 7]</w:t>
      </w:r>
    </w:p>
    <w:p w14:paraId="1597044C" w14:textId="39726F47" w:rsidR="000221A5" w:rsidRPr="00F101A0" w:rsidRDefault="008E12FD" w:rsidP="00F101A0">
      <w:pPr>
        <w:pStyle w:val="ListParagraph"/>
        <w:numPr>
          <w:ilvl w:val="0"/>
          <w:numId w:val="8"/>
        </w:numPr>
        <w:shd w:val="clear" w:color="auto" w:fill="D9D9D9" w:themeFill="background1" w:themeFillShade="D9"/>
        <w:tabs>
          <w:tab w:val="left" w:pos="2160"/>
        </w:tabs>
        <w:spacing w:before="240" w:after="0" w:line="312" w:lineRule="auto"/>
        <w:ind w:hanging="540"/>
        <w:jc w:val="both"/>
        <w:rPr>
          <w:rFonts w:ascii="Arial" w:hAnsi="Arial" w:cs="Arial"/>
          <w:sz w:val="24"/>
          <w:szCs w:val="24"/>
        </w:rPr>
      </w:pPr>
      <w:r w:rsidRPr="00F101A0">
        <w:rPr>
          <w:rFonts w:ascii="Arial" w:hAnsi="Arial" w:cs="Arial"/>
          <w:sz w:val="24"/>
          <w:szCs w:val="24"/>
        </w:rPr>
        <w:t>R</w:t>
      </w:r>
      <w:r w:rsidR="00B36EAF" w:rsidRPr="00F101A0">
        <w:rPr>
          <w:rFonts w:ascii="Arial" w:hAnsi="Arial" w:cs="Arial"/>
          <w:sz w:val="24"/>
          <w:szCs w:val="24"/>
        </w:rPr>
        <w:t>eplac</w:t>
      </w:r>
      <w:r w:rsidRPr="00F101A0">
        <w:rPr>
          <w:rFonts w:ascii="Arial" w:hAnsi="Arial" w:cs="Arial"/>
          <w:sz w:val="24"/>
          <w:szCs w:val="24"/>
        </w:rPr>
        <w:t xml:space="preserve">e </w:t>
      </w:r>
      <w:r w:rsidR="00B36EAF" w:rsidRPr="00F101A0">
        <w:rPr>
          <w:rFonts w:ascii="Arial" w:hAnsi="Arial" w:cs="Arial"/>
          <w:sz w:val="24"/>
          <w:szCs w:val="24"/>
        </w:rPr>
        <w:t xml:space="preserve">the words “… </w:t>
      </w:r>
      <w:r w:rsidR="00B36EAF" w:rsidRPr="00F101A0">
        <w:rPr>
          <w:rFonts w:ascii="Arial" w:hAnsi="Arial" w:cs="Arial"/>
          <w:i/>
          <w:iCs/>
          <w:sz w:val="24"/>
          <w:szCs w:val="24"/>
        </w:rPr>
        <w:t>to express interest</w:t>
      </w:r>
      <w:r w:rsidR="00B36EAF" w:rsidRPr="00F101A0">
        <w:rPr>
          <w:rFonts w:ascii="Arial" w:hAnsi="Arial" w:cs="Arial"/>
          <w:sz w:val="24"/>
          <w:szCs w:val="24"/>
        </w:rPr>
        <w:t xml:space="preserve"> …” with the word</w:t>
      </w:r>
      <w:r w:rsidRPr="00F101A0">
        <w:rPr>
          <w:rFonts w:ascii="Arial" w:hAnsi="Arial" w:cs="Arial"/>
          <w:sz w:val="24"/>
          <w:szCs w:val="24"/>
        </w:rPr>
        <w:t>s</w:t>
      </w:r>
      <w:r w:rsidR="00B36EAF" w:rsidRPr="00F101A0">
        <w:rPr>
          <w:rFonts w:ascii="Arial" w:hAnsi="Arial" w:cs="Arial"/>
          <w:sz w:val="24"/>
          <w:szCs w:val="24"/>
        </w:rPr>
        <w:t xml:space="preserve"> “</w:t>
      </w:r>
      <w:r w:rsidR="008F41B1" w:rsidRPr="00F101A0">
        <w:rPr>
          <w:rFonts w:ascii="Arial" w:hAnsi="Arial" w:cs="Arial"/>
          <w:sz w:val="24"/>
          <w:szCs w:val="24"/>
        </w:rPr>
        <w:t xml:space="preserve">… </w:t>
      </w:r>
      <w:r w:rsidR="008F41B1" w:rsidRPr="00F101A0">
        <w:rPr>
          <w:rFonts w:ascii="Arial" w:hAnsi="Arial" w:cs="Arial"/>
          <w:i/>
          <w:iCs/>
          <w:sz w:val="24"/>
          <w:szCs w:val="24"/>
        </w:rPr>
        <w:t xml:space="preserve">to </w:t>
      </w:r>
      <w:r w:rsidR="00B36EAF" w:rsidRPr="00F101A0">
        <w:rPr>
          <w:rFonts w:ascii="Arial" w:hAnsi="Arial" w:cs="Arial"/>
          <w:i/>
          <w:iCs/>
          <w:sz w:val="24"/>
          <w:szCs w:val="24"/>
        </w:rPr>
        <w:t>provide inputs</w:t>
      </w:r>
      <w:r w:rsidR="008F41B1" w:rsidRPr="00F101A0">
        <w:rPr>
          <w:rFonts w:ascii="Arial" w:hAnsi="Arial" w:cs="Arial"/>
          <w:sz w:val="24"/>
          <w:szCs w:val="24"/>
        </w:rPr>
        <w:t xml:space="preserve"> …</w:t>
      </w:r>
      <w:r w:rsidR="00B36EAF" w:rsidRPr="00F101A0">
        <w:rPr>
          <w:rFonts w:ascii="Arial" w:hAnsi="Arial" w:cs="Arial"/>
          <w:sz w:val="24"/>
          <w:szCs w:val="24"/>
        </w:rPr>
        <w:t>” in paragraph 71(a)</w:t>
      </w:r>
      <w:r w:rsidR="000043E6" w:rsidRPr="00F101A0">
        <w:rPr>
          <w:rFonts w:ascii="Arial" w:hAnsi="Arial" w:cs="Arial"/>
          <w:sz w:val="24"/>
          <w:szCs w:val="24"/>
        </w:rPr>
        <w:t xml:space="preserve">, </w:t>
      </w:r>
    </w:p>
    <w:p w14:paraId="0104602B" w14:textId="7623D26D" w:rsidR="009867B2" w:rsidRPr="00F101A0" w:rsidRDefault="008E12FD" w:rsidP="00F101A0">
      <w:pPr>
        <w:pStyle w:val="ListParagraph"/>
        <w:numPr>
          <w:ilvl w:val="0"/>
          <w:numId w:val="8"/>
        </w:numPr>
        <w:shd w:val="clear" w:color="auto" w:fill="D9D9D9" w:themeFill="background1" w:themeFillShade="D9"/>
        <w:tabs>
          <w:tab w:val="left" w:pos="1710"/>
          <w:tab w:val="left" w:pos="2160"/>
        </w:tabs>
        <w:spacing w:before="240" w:after="0" w:line="312" w:lineRule="auto"/>
        <w:ind w:hanging="540"/>
        <w:jc w:val="both"/>
        <w:rPr>
          <w:rFonts w:ascii="Arial" w:hAnsi="Arial" w:cs="Arial"/>
          <w:sz w:val="24"/>
          <w:szCs w:val="24"/>
        </w:rPr>
      </w:pPr>
      <w:r w:rsidRPr="00F101A0">
        <w:rPr>
          <w:rFonts w:ascii="Arial" w:hAnsi="Arial" w:cs="Arial"/>
          <w:sz w:val="24"/>
          <w:szCs w:val="24"/>
        </w:rPr>
        <w:t xml:space="preserve">Consider further </w:t>
      </w:r>
      <w:r w:rsidR="00FE791A" w:rsidRPr="00F101A0">
        <w:rPr>
          <w:rFonts w:ascii="Arial" w:hAnsi="Arial" w:cs="Arial"/>
          <w:sz w:val="24"/>
          <w:szCs w:val="24"/>
        </w:rPr>
        <w:t xml:space="preserve">two </w:t>
      </w:r>
      <w:r w:rsidR="00A13B68" w:rsidRPr="00F101A0">
        <w:rPr>
          <w:rFonts w:ascii="Arial" w:hAnsi="Arial" w:cs="Arial"/>
          <w:sz w:val="24"/>
          <w:szCs w:val="24"/>
        </w:rPr>
        <w:t>proposals</w:t>
      </w:r>
      <w:r w:rsidR="00FE791A" w:rsidRPr="00F101A0">
        <w:rPr>
          <w:rFonts w:ascii="Arial" w:hAnsi="Arial" w:cs="Arial"/>
          <w:sz w:val="24"/>
          <w:szCs w:val="24"/>
        </w:rPr>
        <w:t xml:space="preserve"> for </w:t>
      </w:r>
      <w:r w:rsidR="00D83D87" w:rsidRPr="00F101A0">
        <w:rPr>
          <w:rFonts w:ascii="Arial" w:hAnsi="Arial" w:cs="Arial"/>
          <w:sz w:val="24"/>
          <w:szCs w:val="24"/>
        </w:rPr>
        <w:t>paragraph 7.3</w:t>
      </w:r>
      <w:r w:rsidR="0068426B" w:rsidRPr="00F101A0">
        <w:rPr>
          <w:rFonts w:ascii="Arial" w:hAnsi="Arial" w:cs="Arial"/>
          <w:sz w:val="24"/>
          <w:szCs w:val="24"/>
        </w:rPr>
        <w:t xml:space="preserve">, which </w:t>
      </w:r>
      <w:r w:rsidR="00D83D87" w:rsidRPr="00F101A0">
        <w:rPr>
          <w:rFonts w:ascii="Arial" w:hAnsi="Arial" w:cs="Arial"/>
          <w:sz w:val="24"/>
          <w:szCs w:val="24"/>
        </w:rPr>
        <w:t>read</w:t>
      </w:r>
      <w:r w:rsidR="009867B2" w:rsidRPr="00F101A0">
        <w:rPr>
          <w:rFonts w:ascii="Arial" w:hAnsi="Arial" w:cs="Arial"/>
          <w:sz w:val="24"/>
          <w:szCs w:val="24"/>
        </w:rPr>
        <w:t xml:space="preserve"> as follows:</w:t>
      </w:r>
      <w:r w:rsidR="00D83D87" w:rsidRPr="00F101A0">
        <w:rPr>
          <w:rFonts w:ascii="Arial" w:hAnsi="Arial" w:cs="Arial"/>
          <w:sz w:val="24"/>
          <w:szCs w:val="24"/>
        </w:rPr>
        <w:t xml:space="preserve"> </w:t>
      </w:r>
    </w:p>
    <w:p w14:paraId="3961F034" w14:textId="504B05A6" w:rsidR="009867B2" w:rsidRPr="00F101A0" w:rsidRDefault="001A0202" w:rsidP="008E12FD">
      <w:pPr>
        <w:pStyle w:val="ListParagraph"/>
        <w:numPr>
          <w:ilvl w:val="0"/>
          <w:numId w:val="29"/>
        </w:numPr>
        <w:shd w:val="clear" w:color="auto" w:fill="D9D9D9" w:themeFill="background1" w:themeFillShade="D9"/>
        <w:tabs>
          <w:tab w:val="left" w:pos="1440"/>
          <w:tab w:val="left" w:pos="2160"/>
        </w:tabs>
        <w:spacing w:before="240" w:after="0" w:line="312" w:lineRule="auto"/>
        <w:jc w:val="both"/>
        <w:rPr>
          <w:rFonts w:ascii="Arial" w:hAnsi="Arial" w:cs="Arial"/>
          <w:sz w:val="24"/>
          <w:szCs w:val="24"/>
        </w:rPr>
      </w:pPr>
      <w:r w:rsidRPr="00F101A0">
        <w:rPr>
          <w:rFonts w:ascii="Arial" w:hAnsi="Arial" w:cs="Arial"/>
          <w:sz w:val="24"/>
          <w:szCs w:val="24"/>
        </w:rPr>
        <w:t>“</w:t>
      </w:r>
      <w:r w:rsidR="00A13B68" w:rsidRPr="00F101A0">
        <w:rPr>
          <w:rFonts w:ascii="Arial" w:hAnsi="Arial" w:cs="Arial"/>
          <w:i/>
          <w:iCs/>
          <w:sz w:val="24"/>
          <w:szCs w:val="24"/>
        </w:rPr>
        <w:t>The</w:t>
      </w:r>
      <w:r w:rsidR="0068426B" w:rsidRPr="00F101A0">
        <w:rPr>
          <w:rFonts w:ascii="Arial" w:hAnsi="Arial" w:cs="Arial"/>
          <w:i/>
          <w:iCs/>
          <w:sz w:val="24"/>
          <w:szCs w:val="24"/>
        </w:rPr>
        <w:t xml:space="preserve"> MRAs for professional services adopted by the CMT shall be annexed to, and form an integral part of, the Protocol in line with provisions of Article 26 of the Protocol/ as may be recommended/</w:t>
      </w:r>
      <w:r w:rsidR="008E12FD" w:rsidRPr="00F101A0">
        <w:rPr>
          <w:rFonts w:ascii="Arial" w:hAnsi="Arial" w:cs="Arial"/>
          <w:i/>
          <w:iCs/>
          <w:sz w:val="24"/>
          <w:szCs w:val="24"/>
        </w:rPr>
        <w:t xml:space="preserve"> </w:t>
      </w:r>
      <w:r w:rsidR="0068426B" w:rsidRPr="00F101A0">
        <w:rPr>
          <w:rFonts w:ascii="Arial" w:hAnsi="Arial" w:cs="Arial"/>
          <w:i/>
          <w:iCs/>
          <w:sz w:val="24"/>
          <w:szCs w:val="24"/>
        </w:rPr>
        <w:t>decided by the TNF-</w:t>
      </w:r>
      <w:r w:rsidR="008E12FD" w:rsidRPr="00F101A0">
        <w:rPr>
          <w:rFonts w:ascii="Arial" w:hAnsi="Arial" w:cs="Arial"/>
          <w:i/>
          <w:iCs/>
          <w:sz w:val="24"/>
          <w:szCs w:val="24"/>
        </w:rPr>
        <w:t>S</w:t>
      </w:r>
      <w:r w:rsidR="0068426B" w:rsidRPr="00F101A0">
        <w:rPr>
          <w:rFonts w:ascii="Arial" w:hAnsi="Arial" w:cs="Arial"/>
          <w:i/>
          <w:iCs/>
          <w:sz w:val="24"/>
          <w:szCs w:val="24"/>
        </w:rPr>
        <w:t>ervices</w:t>
      </w:r>
      <w:r w:rsidR="00A13B68" w:rsidRPr="00F101A0">
        <w:rPr>
          <w:rFonts w:ascii="Arial" w:hAnsi="Arial" w:cs="Arial"/>
          <w:i/>
          <w:iCs/>
          <w:sz w:val="24"/>
          <w:szCs w:val="24"/>
        </w:rPr>
        <w:t>”</w:t>
      </w:r>
      <w:r w:rsidR="008E12FD" w:rsidRPr="00F101A0">
        <w:rPr>
          <w:rFonts w:ascii="Arial" w:hAnsi="Arial" w:cs="Arial"/>
          <w:sz w:val="24"/>
          <w:szCs w:val="24"/>
        </w:rPr>
        <w:t>; or</w:t>
      </w:r>
    </w:p>
    <w:p w14:paraId="55F3A0C0" w14:textId="113D7AC2" w:rsidR="008E12FD" w:rsidRPr="00F101A0" w:rsidRDefault="008E12FD" w:rsidP="008E12FD">
      <w:pPr>
        <w:pStyle w:val="ListParagraph"/>
        <w:numPr>
          <w:ilvl w:val="0"/>
          <w:numId w:val="29"/>
        </w:numPr>
        <w:shd w:val="clear" w:color="auto" w:fill="D9D9D9" w:themeFill="background1" w:themeFillShade="D9"/>
        <w:tabs>
          <w:tab w:val="left" w:pos="900"/>
          <w:tab w:val="left" w:pos="2160"/>
        </w:tabs>
        <w:spacing w:before="240" w:after="0" w:line="312" w:lineRule="auto"/>
        <w:rPr>
          <w:rFonts w:ascii="Arial" w:hAnsi="Arial" w:cs="Arial"/>
          <w:sz w:val="24"/>
          <w:szCs w:val="24"/>
        </w:rPr>
      </w:pPr>
      <w:r w:rsidRPr="00F101A0">
        <w:rPr>
          <w:rFonts w:ascii="Arial" w:hAnsi="Arial" w:cs="Arial"/>
          <w:i/>
          <w:iCs/>
          <w:sz w:val="24"/>
          <w:szCs w:val="24"/>
        </w:rPr>
        <w:t>“The adoption of MRAs will be decided on by the TNF-Services, through a recommendation to the CMT</w:t>
      </w:r>
      <w:r w:rsidRPr="00F101A0">
        <w:rPr>
          <w:rFonts w:ascii="Arial" w:hAnsi="Arial" w:cs="Arial"/>
          <w:sz w:val="24"/>
          <w:szCs w:val="24"/>
        </w:rPr>
        <w:t>”.</w:t>
      </w:r>
    </w:p>
    <w:p w14:paraId="18D78A8C" w14:textId="537527F9" w:rsidR="00225D59" w:rsidRPr="00F101A0" w:rsidRDefault="008E12FD" w:rsidP="00F101A0">
      <w:pPr>
        <w:pStyle w:val="ListParagraph"/>
        <w:numPr>
          <w:ilvl w:val="0"/>
          <w:numId w:val="8"/>
        </w:numPr>
        <w:shd w:val="clear" w:color="auto" w:fill="D9D9D9" w:themeFill="background1" w:themeFillShade="D9"/>
        <w:tabs>
          <w:tab w:val="left" w:pos="1710"/>
          <w:tab w:val="left" w:pos="2160"/>
        </w:tabs>
        <w:spacing w:before="240" w:after="0" w:line="312" w:lineRule="auto"/>
        <w:ind w:hanging="540"/>
        <w:jc w:val="both"/>
        <w:rPr>
          <w:rFonts w:ascii="Arial" w:hAnsi="Arial" w:cs="Arial"/>
          <w:sz w:val="24"/>
          <w:szCs w:val="24"/>
        </w:rPr>
      </w:pPr>
      <w:r w:rsidRPr="00F101A0">
        <w:rPr>
          <w:rFonts w:ascii="Arial" w:hAnsi="Arial" w:cs="Arial"/>
          <w:sz w:val="24"/>
          <w:szCs w:val="24"/>
        </w:rPr>
        <w:t>A</w:t>
      </w:r>
      <w:r w:rsidR="009867B2" w:rsidRPr="00F101A0">
        <w:rPr>
          <w:rFonts w:ascii="Arial" w:hAnsi="Arial" w:cs="Arial"/>
          <w:sz w:val="24"/>
          <w:szCs w:val="24"/>
        </w:rPr>
        <w:t xml:space="preserve">dd a new </w:t>
      </w:r>
      <w:r w:rsidR="00112631" w:rsidRPr="00F101A0">
        <w:rPr>
          <w:rFonts w:ascii="Arial" w:hAnsi="Arial" w:cs="Arial"/>
          <w:sz w:val="24"/>
          <w:szCs w:val="24"/>
        </w:rPr>
        <w:t>paragraph</w:t>
      </w:r>
      <w:r w:rsidR="0047478B" w:rsidRPr="00F101A0">
        <w:rPr>
          <w:rFonts w:ascii="Arial" w:hAnsi="Arial" w:cs="Arial"/>
          <w:sz w:val="24"/>
          <w:szCs w:val="24"/>
        </w:rPr>
        <w:t xml:space="preserve"> </w:t>
      </w:r>
      <w:r w:rsidR="00112631" w:rsidRPr="00F101A0">
        <w:rPr>
          <w:rFonts w:ascii="Arial" w:hAnsi="Arial" w:cs="Arial"/>
          <w:sz w:val="24"/>
          <w:szCs w:val="24"/>
        </w:rPr>
        <w:t>7.4</w:t>
      </w:r>
      <w:r w:rsidRPr="00F101A0">
        <w:rPr>
          <w:rFonts w:ascii="Arial" w:hAnsi="Arial" w:cs="Arial"/>
          <w:sz w:val="24"/>
          <w:szCs w:val="24"/>
        </w:rPr>
        <w:t>,</w:t>
      </w:r>
      <w:r w:rsidR="00112631" w:rsidRPr="00F101A0">
        <w:rPr>
          <w:rFonts w:ascii="Arial" w:hAnsi="Arial" w:cs="Arial"/>
          <w:sz w:val="24"/>
          <w:szCs w:val="24"/>
        </w:rPr>
        <w:t xml:space="preserve"> reading as follow</w:t>
      </w:r>
      <w:r w:rsidR="0005293F" w:rsidRPr="00F101A0">
        <w:rPr>
          <w:rFonts w:ascii="Arial" w:hAnsi="Arial" w:cs="Arial"/>
          <w:sz w:val="24"/>
          <w:szCs w:val="24"/>
        </w:rPr>
        <w:t>s:</w:t>
      </w:r>
      <w:r w:rsidR="00112631" w:rsidRPr="00F101A0">
        <w:rPr>
          <w:rFonts w:ascii="Arial" w:hAnsi="Arial" w:cs="Arial"/>
          <w:sz w:val="24"/>
          <w:szCs w:val="24"/>
        </w:rPr>
        <w:t xml:space="preserve">  </w:t>
      </w:r>
    </w:p>
    <w:p w14:paraId="7755433B" w14:textId="43B8428E" w:rsidR="00112631" w:rsidRPr="00F101A0" w:rsidRDefault="008E12FD" w:rsidP="00F101A0">
      <w:pPr>
        <w:shd w:val="clear" w:color="auto" w:fill="D9D9D9" w:themeFill="background1" w:themeFillShade="D9"/>
        <w:tabs>
          <w:tab w:val="left" w:pos="1710"/>
          <w:tab w:val="left" w:pos="2160"/>
        </w:tabs>
        <w:spacing w:before="240" w:after="0" w:line="312" w:lineRule="auto"/>
        <w:ind w:left="2160" w:hanging="540"/>
        <w:jc w:val="both"/>
        <w:rPr>
          <w:rFonts w:ascii="Arial" w:hAnsi="Arial" w:cs="Arial"/>
          <w:sz w:val="24"/>
          <w:szCs w:val="24"/>
        </w:rPr>
      </w:pPr>
      <w:r w:rsidRPr="00F101A0">
        <w:rPr>
          <w:rFonts w:ascii="Arial" w:hAnsi="Arial" w:cs="Arial"/>
          <w:i/>
          <w:iCs/>
          <w:sz w:val="24"/>
          <w:szCs w:val="24"/>
        </w:rPr>
        <w:tab/>
      </w:r>
      <w:r w:rsidRPr="00F101A0">
        <w:rPr>
          <w:rFonts w:ascii="Arial" w:hAnsi="Arial" w:cs="Arial"/>
          <w:i/>
          <w:iCs/>
          <w:sz w:val="24"/>
          <w:szCs w:val="24"/>
        </w:rPr>
        <w:tab/>
      </w:r>
      <w:r w:rsidR="0005293F" w:rsidRPr="00F101A0">
        <w:rPr>
          <w:rFonts w:ascii="Arial" w:hAnsi="Arial" w:cs="Arial"/>
          <w:i/>
          <w:iCs/>
          <w:sz w:val="24"/>
          <w:szCs w:val="24"/>
        </w:rPr>
        <w:t>“The</w:t>
      </w:r>
      <w:r w:rsidR="00112631" w:rsidRPr="00F101A0">
        <w:rPr>
          <w:rFonts w:ascii="Arial" w:hAnsi="Arial" w:cs="Arial"/>
          <w:i/>
          <w:iCs/>
          <w:sz w:val="24"/>
          <w:szCs w:val="24"/>
        </w:rPr>
        <w:t xml:space="preserve"> final text of MRAs adopted by the CMT will be recommended for legal scrubbing/clearance by the </w:t>
      </w:r>
      <w:r w:rsidRPr="00F101A0">
        <w:rPr>
          <w:rFonts w:ascii="Arial" w:hAnsi="Arial" w:cs="Arial"/>
          <w:i/>
          <w:iCs/>
          <w:sz w:val="24"/>
          <w:szCs w:val="24"/>
        </w:rPr>
        <w:t>C</w:t>
      </w:r>
      <w:r w:rsidR="00112631" w:rsidRPr="00F101A0">
        <w:rPr>
          <w:rFonts w:ascii="Arial" w:hAnsi="Arial" w:cs="Arial"/>
          <w:i/>
          <w:iCs/>
          <w:sz w:val="24"/>
          <w:szCs w:val="24"/>
        </w:rPr>
        <w:t xml:space="preserve">ommittee of Ministers of </w:t>
      </w:r>
      <w:r w:rsidR="00112631" w:rsidRPr="00F101A0">
        <w:rPr>
          <w:rFonts w:ascii="Arial" w:hAnsi="Arial" w:cs="Arial"/>
          <w:i/>
          <w:iCs/>
          <w:sz w:val="24"/>
          <w:szCs w:val="24"/>
        </w:rPr>
        <w:lastRenderedPageBreak/>
        <w:t xml:space="preserve">Justices and Attorney Generals, who shall refer it back the </w:t>
      </w:r>
      <w:r w:rsidR="00EF2F1E" w:rsidRPr="00F101A0">
        <w:rPr>
          <w:rFonts w:ascii="Arial" w:hAnsi="Arial" w:cs="Arial"/>
          <w:i/>
          <w:iCs/>
          <w:sz w:val="24"/>
          <w:szCs w:val="24"/>
        </w:rPr>
        <w:t>CMT for</w:t>
      </w:r>
      <w:r w:rsidR="00112631" w:rsidRPr="00F101A0">
        <w:rPr>
          <w:rFonts w:ascii="Arial" w:hAnsi="Arial" w:cs="Arial"/>
          <w:i/>
          <w:iCs/>
          <w:sz w:val="24"/>
          <w:szCs w:val="24"/>
        </w:rPr>
        <w:t xml:space="preserve"> final </w:t>
      </w:r>
      <w:r w:rsidR="00EF4EC7" w:rsidRPr="00F101A0">
        <w:rPr>
          <w:rFonts w:ascii="Arial" w:hAnsi="Arial" w:cs="Arial"/>
          <w:i/>
          <w:iCs/>
          <w:sz w:val="24"/>
          <w:szCs w:val="24"/>
        </w:rPr>
        <w:t>adoption’.</w:t>
      </w:r>
      <w:r w:rsidR="00225D59" w:rsidRPr="00F101A0">
        <w:rPr>
          <w:rFonts w:ascii="Arial" w:hAnsi="Arial" w:cs="Arial"/>
          <w:i/>
          <w:iCs/>
          <w:sz w:val="24"/>
          <w:szCs w:val="24"/>
        </w:rPr>
        <w:t xml:space="preserve"> </w:t>
      </w:r>
    </w:p>
    <w:p w14:paraId="40281BC4" w14:textId="6B4F2E10" w:rsidR="008E12FD" w:rsidRPr="00F101A0" w:rsidRDefault="008E12FD" w:rsidP="008E12FD">
      <w:pPr>
        <w:pStyle w:val="ListParagraph"/>
        <w:numPr>
          <w:ilvl w:val="0"/>
          <w:numId w:val="8"/>
        </w:numPr>
        <w:shd w:val="clear" w:color="auto" w:fill="D9D9D9" w:themeFill="background1" w:themeFillShade="D9"/>
        <w:tabs>
          <w:tab w:val="left" w:pos="1710"/>
          <w:tab w:val="left" w:pos="2160"/>
        </w:tabs>
        <w:spacing w:before="240" w:after="0" w:line="312" w:lineRule="auto"/>
        <w:ind w:hanging="540"/>
        <w:jc w:val="both"/>
        <w:rPr>
          <w:rFonts w:ascii="Arial" w:hAnsi="Arial" w:cs="Arial"/>
          <w:sz w:val="24"/>
          <w:szCs w:val="24"/>
        </w:rPr>
      </w:pPr>
      <w:r w:rsidRPr="00F101A0">
        <w:rPr>
          <w:rFonts w:ascii="Arial" w:hAnsi="Arial" w:cs="Arial"/>
          <w:sz w:val="24"/>
          <w:szCs w:val="24"/>
        </w:rPr>
        <w:t>B</w:t>
      </w:r>
      <w:r w:rsidR="00BB32F8" w:rsidRPr="00F101A0">
        <w:rPr>
          <w:rFonts w:ascii="Arial" w:hAnsi="Arial" w:cs="Arial"/>
          <w:sz w:val="24"/>
          <w:szCs w:val="24"/>
        </w:rPr>
        <w:t>rack</w:t>
      </w:r>
      <w:r w:rsidR="00C05C68" w:rsidRPr="00F101A0">
        <w:rPr>
          <w:rFonts w:ascii="Arial" w:hAnsi="Arial" w:cs="Arial"/>
          <w:sz w:val="24"/>
          <w:szCs w:val="24"/>
        </w:rPr>
        <w:t xml:space="preserve">et </w:t>
      </w:r>
      <w:r w:rsidR="00BB32F8" w:rsidRPr="00F101A0">
        <w:rPr>
          <w:rFonts w:ascii="Arial" w:hAnsi="Arial" w:cs="Arial"/>
          <w:sz w:val="24"/>
          <w:szCs w:val="24"/>
        </w:rPr>
        <w:t>the proposed text</w:t>
      </w:r>
      <w:r w:rsidR="00C05C68" w:rsidRPr="00F101A0">
        <w:rPr>
          <w:rFonts w:ascii="Arial" w:hAnsi="Arial" w:cs="Arial"/>
          <w:sz w:val="24"/>
          <w:szCs w:val="24"/>
        </w:rPr>
        <w:t>s</w:t>
      </w:r>
      <w:r w:rsidR="00BB32F8" w:rsidRPr="00F101A0">
        <w:rPr>
          <w:rFonts w:ascii="Arial" w:hAnsi="Arial" w:cs="Arial"/>
          <w:sz w:val="24"/>
          <w:szCs w:val="24"/>
        </w:rPr>
        <w:t xml:space="preserve"> for paragraph 7.3 and 7.4 </w:t>
      </w:r>
      <w:r w:rsidR="00C05C68" w:rsidRPr="00F101A0">
        <w:rPr>
          <w:rFonts w:ascii="Arial" w:hAnsi="Arial" w:cs="Arial"/>
          <w:sz w:val="24"/>
          <w:szCs w:val="24"/>
        </w:rPr>
        <w:t>for consideration</w:t>
      </w:r>
      <w:r w:rsidR="00D63BD7" w:rsidRPr="00F101A0">
        <w:rPr>
          <w:rFonts w:ascii="Arial" w:hAnsi="Arial" w:cs="Arial"/>
          <w:sz w:val="24"/>
          <w:szCs w:val="24"/>
        </w:rPr>
        <w:t xml:space="preserve"> by Member States</w:t>
      </w:r>
      <w:r w:rsidR="00C05C68" w:rsidRPr="00F101A0">
        <w:rPr>
          <w:rFonts w:ascii="Arial" w:hAnsi="Arial" w:cs="Arial"/>
          <w:sz w:val="24"/>
          <w:szCs w:val="24"/>
        </w:rPr>
        <w:t xml:space="preserve"> at the next </w:t>
      </w:r>
      <w:r w:rsidR="00082299" w:rsidRPr="00F101A0">
        <w:rPr>
          <w:rFonts w:ascii="Arial" w:hAnsi="Arial" w:cs="Arial"/>
          <w:sz w:val="24"/>
          <w:szCs w:val="24"/>
        </w:rPr>
        <w:t xml:space="preserve">TNF-Services </w:t>
      </w:r>
      <w:r w:rsidR="00C05C68" w:rsidRPr="00F101A0">
        <w:rPr>
          <w:rFonts w:ascii="Arial" w:hAnsi="Arial" w:cs="Arial"/>
          <w:sz w:val="24"/>
          <w:szCs w:val="24"/>
        </w:rPr>
        <w:t xml:space="preserve">meeting. </w:t>
      </w:r>
    </w:p>
    <w:p w14:paraId="7A58DB25" w14:textId="77777777" w:rsidR="008E12FD" w:rsidRPr="00F101A0" w:rsidRDefault="008E12FD" w:rsidP="008E12FD">
      <w:pPr>
        <w:pStyle w:val="ListParagraph"/>
        <w:tabs>
          <w:tab w:val="left" w:pos="1710"/>
          <w:tab w:val="left" w:pos="2160"/>
        </w:tabs>
        <w:spacing w:before="240" w:after="0" w:line="312" w:lineRule="auto"/>
        <w:ind w:left="2160"/>
        <w:jc w:val="both"/>
        <w:rPr>
          <w:rFonts w:ascii="Arial" w:hAnsi="Arial" w:cs="Arial"/>
          <w:sz w:val="24"/>
          <w:szCs w:val="24"/>
        </w:rPr>
      </w:pPr>
    </w:p>
    <w:p w14:paraId="5A165834" w14:textId="6F19909B" w:rsidR="00F30803" w:rsidRPr="00F101A0" w:rsidRDefault="00EF70F1" w:rsidP="008E12FD">
      <w:pPr>
        <w:pStyle w:val="ListParagraph"/>
        <w:numPr>
          <w:ilvl w:val="2"/>
          <w:numId w:val="1"/>
        </w:numPr>
        <w:spacing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Parties to the MRAs [Section 8]</w:t>
      </w:r>
    </w:p>
    <w:p w14:paraId="2D244793" w14:textId="77777777" w:rsidR="008E12FD" w:rsidRPr="00F101A0" w:rsidRDefault="008E12FD" w:rsidP="008E12FD">
      <w:pPr>
        <w:pStyle w:val="ListParagraph"/>
        <w:spacing w:after="0" w:line="312" w:lineRule="auto"/>
        <w:ind w:left="1224"/>
        <w:jc w:val="both"/>
        <w:rPr>
          <w:rFonts w:ascii="Arial Bold" w:hAnsi="Arial Bold" w:cs="Arial"/>
          <w:b/>
          <w:bCs/>
          <w:caps/>
          <w:sz w:val="24"/>
          <w:szCs w:val="24"/>
        </w:rPr>
      </w:pPr>
    </w:p>
    <w:p w14:paraId="49703654" w14:textId="49D88554" w:rsidR="002C4E79" w:rsidRPr="00F101A0" w:rsidRDefault="001D2042" w:rsidP="00F101A0">
      <w:pPr>
        <w:pStyle w:val="ListParagraph"/>
        <w:numPr>
          <w:ilvl w:val="0"/>
          <w:numId w:val="25"/>
        </w:numPr>
        <w:spacing w:after="0" w:line="312" w:lineRule="auto"/>
        <w:ind w:hanging="761"/>
        <w:jc w:val="both"/>
        <w:rPr>
          <w:rFonts w:ascii="Arial" w:hAnsi="Arial" w:cs="Arial"/>
          <w:sz w:val="24"/>
          <w:szCs w:val="24"/>
        </w:rPr>
      </w:pPr>
      <w:r w:rsidRPr="00F101A0">
        <w:rPr>
          <w:rFonts w:ascii="Arial" w:hAnsi="Arial" w:cs="Arial"/>
          <w:sz w:val="24"/>
          <w:szCs w:val="24"/>
        </w:rPr>
        <w:t xml:space="preserve">One </w:t>
      </w:r>
      <w:r w:rsidR="002C4E79" w:rsidRPr="00F101A0">
        <w:rPr>
          <w:rFonts w:ascii="Arial" w:hAnsi="Arial" w:cs="Arial"/>
          <w:sz w:val="24"/>
          <w:szCs w:val="24"/>
        </w:rPr>
        <w:t>Member State</w:t>
      </w:r>
      <w:r w:rsidR="008E12FD" w:rsidRPr="00F101A0">
        <w:rPr>
          <w:rFonts w:ascii="Arial" w:hAnsi="Arial" w:cs="Arial"/>
          <w:sz w:val="24"/>
          <w:szCs w:val="24"/>
        </w:rPr>
        <w:t>,</w:t>
      </w:r>
      <w:r w:rsidR="0033367D" w:rsidRPr="00F101A0">
        <w:rPr>
          <w:rFonts w:ascii="Arial" w:hAnsi="Arial" w:cs="Arial"/>
          <w:sz w:val="24"/>
          <w:szCs w:val="24"/>
        </w:rPr>
        <w:t xml:space="preserve"> </w:t>
      </w:r>
      <w:r w:rsidR="00143989" w:rsidRPr="00F101A0">
        <w:rPr>
          <w:rFonts w:ascii="Arial" w:hAnsi="Arial" w:cs="Arial"/>
          <w:sz w:val="24"/>
          <w:szCs w:val="24"/>
        </w:rPr>
        <w:t>i.e.,</w:t>
      </w:r>
      <w:r w:rsidR="0033367D" w:rsidRPr="00F101A0">
        <w:rPr>
          <w:rFonts w:ascii="Arial" w:hAnsi="Arial" w:cs="Arial"/>
          <w:sz w:val="24"/>
          <w:szCs w:val="24"/>
        </w:rPr>
        <w:t xml:space="preserve"> Zambia,</w:t>
      </w:r>
      <w:r w:rsidR="00055062" w:rsidRPr="00F101A0">
        <w:rPr>
          <w:rFonts w:ascii="Arial" w:hAnsi="Arial" w:cs="Arial"/>
          <w:sz w:val="24"/>
          <w:szCs w:val="24"/>
        </w:rPr>
        <w:t xml:space="preserve"> </w:t>
      </w:r>
      <w:r w:rsidR="0033367D" w:rsidRPr="00F101A0">
        <w:rPr>
          <w:rFonts w:ascii="Arial" w:hAnsi="Arial" w:cs="Arial"/>
          <w:sz w:val="24"/>
          <w:szCs w:val="24"/>
        </w:rPr>
        <w:t>proposed an</w:t>
      </w:r>
      <w:r w:rsidR="00324063" w:rsidRPr="00F101A0">
        <w:rPr>
          <w:rFonts w:ascii="Arial" w:hAnsi="Arial" w:cs="Arial"/>
          <w:sz w:val="24"/>
          <w:szCs w:val="24"/>
        </w:rPr>
        <w:t xml:space="preserve"> addition</w:t>
      </w:r>
      <w:r w:rsidR="008E12FD" w:rsidRPr="00F101A0">
        <w:rPr>
          <w:rFonts w:ascii="Arial" w:hAnsi="Arial" w:cs="Arial"/>
          <w:sz w:val="24"/>
          <w:szCs w:val="24"/>
        </w:rPr>
        <w:t>al</w:t>
      </w:r>
      <w:r w:rsidR="00324063" w:rsidRPr="00F101A0">
        <w:rPr>
          <w:rFonts w:ascii="Arial" w:hAnsi="Arial" w:cs="Arial"/>
          <w:sz w:val="24"/>
          <w:szCs w:val="24"/>
        </w:rPr>
        <w:t xml:space="preserve"> paragraph to clarify the interface between existing bilateral MRAs and the </w:t>
      </w:r>
      <w:r w:rsidR="0033367D" w:rsidRPr="00F101A0">
        <w:rPr>
          <w:rFonts w:ascii="Arial" w:hAnsi="Arial" w:cs="Arial"/>
          <w:sz w:val="24"/>
          <w:szCs w:val="24"/>
        </w:rPr>
        <w:t xml:space="preserve">envisaged </w:t>
      </w:r>
      <w:r w:rsidR="00324063" w:rsidRPr="00F101A0">
        <w:rPr>
          <w:rFonts w:ascii="Arial" w:hAnsi="Arial" w:cs="Arial"/>
          <w:sz w:val="24"/>
          <w:szCs w:val="24"/>
        </w:rPr>
        <w:t>SADC regional MRAs.</w:t>
      </w:r>
      <w:r w:rsidR="002C4E79" w:rsidRPr="00F101A0">
        <w:rPr>
          <w:rFonts w:ascii="Arial" w:hAnsi="Arial" w:cs="Arial"/>
          <w:sz w:val="24"/>
          <w:szCs w:val="24"/>
        </w:rPr>
        <w:t xml:space="preserve"> </w:t>
      </w:r>
    </w:p>
    <w:p w14:paraId="06469B58" w14:textId="0B774A16" w:rsidR="002C4E79" w:rsidRPr="00F101A0" w:rsidRDefault="002C4E79" w:rsidP="00F101A0">
      <w:pPr>
        <w:pStyle w:val="ListParagraph"/>
        <w:numPr>
          <w:ilvl w:val="0"/>
          <w:numId w:val="25"/>
        </w:numPr>
        <w:spacing w:before="240"/>
        <w:ind w:hanging="851"/>
        <w:rPr>
          <w:rFonts w:ascii="Arial" w:hAnsi="Arial" w:cs="Arial"/>
          <w:sz w:val="24"/>
          <w:szCs w:val="24"/>
          <w:u w:val="single"/>
        </w:rPr>
      </w:pPr>
      <w:r w:rsidRPr="00F101A0">
        <w:rPr>
          <w:rFonts w:ascii="Arial" w:hAnsi="Arial" w:cs="Arial"/>
          <w:sz w:val="24"/>
          <w:szCs w:val="24"/>
          <w:u w:val="single"/>
        </w:rPr>
        <w:t xml:space="preserve">Conclusion </w:t>
      </w:r>
      <w:r w:rsidR="00A76F96" w:rsidRPr="00F101A0">
        <w:rPr>
          <w:rFonts w:ascii="Arial" w:hAnsi="Arial" w:cs="Arial"/>
          <w:sz w:val="24"/>
          <w:szCs w:val="24"/>
          <w:u w:val="single"/>
        </w:rPr>
        <w:t>10</w:t>
      </w:r>
      <w:r w:rsidRPr="00F101A0">
        <w:rPr>
          <w:rFonts w:ascii="Arial" w:hAnsi="Arial" w:cs="Arial"/>
          <w:sz w:val="24"/>
          <w:szCs w:val="24"/>
          <w:u w:val="single"/>
        </w:rPr>
        <w:t xml:space="preserve">: </w:t>
      </w:r>
      <w:r w:rsidR="00C23F93" w:rsidRPr="00F101A0">
        <w:rPr>
          <w:rFonts w:ascii="Arial" w:hAnsi="Arial" w:cs="Arial"/>
          <w:sz w:val="24"/>
          <w:szCs w:val="24"/>
          <w:u w:val="single"/>
        </w:rPr>
        <w:t>Parties to the MRAs</w:t>
      </w:r>
      <w:r w:rsidRPr="00F101A0">
        <w:rPr>
          <w:rFonts w:ascii="Arial" w:hAnsi="Arial" w:cs="Arial"/>
          <w:sz w:val="24"/>
          <w:szCs w:val="24"/>
          <w:u w:val="single"/>
        </w:rPr>
        <w:t xml:space="preserve"> [Section </w:t>
      </w:r>
      <w:r w:rsidR="008D58F6" w:rsidRPr="00F101A0">
        <w:rPr>
          <w:rFonts w:ascii="Arial" w:hAnsi="Arial" w:cs="Arial"/>
          <w:sz w:val="24"/>
          <w:szCs w:val="24"/>
          <w:u w:val="single"/>
        </w:rPr>
        <w:t>8</w:t>
      </w:r>
      <w:r w:rsidRPr="00F101A0">
        <w:rPr>
          <w:rFonts w:ascii="Arial" w:hAnsi="Arial" w:cs="Arial"/>
          <w:sz w:val="24"/>
          <w:szCs w:val="24"/>
          <w:u w:val="single"/>
        </w:rPr>
        <w:t>]</w:t>
      </w:r>
    </w:p>
    <w:p w14:paraId="5DC23A63" w14:textId="228079B8" w:rsidR="002C4E79" w:rsidRPr="00F101A0" w:rsidRDefault="00F818BB" w:rsidP="00F101A0">
      <w:pPr>
        <w:shd w:val="clear" w:color="auto" w:fill="D9D9D9" w:themeFill="background1" w:themeFillShade="D9"/>
        <w:spacing w:before="240" w:after="0" w:line="312" w:lineRule="auto"/>
        <w:ind w:left="1530"/>
        <w:jc w:val="both"/>
        <w:rPr>
          <w:rFonts w:ascii="Arial" w:hAnsi="Arial" w:cs="Arial"/>
          <w:sz w:val="24"/>
          <w:szCs w:val="24"/>
        </w:rPr>
      </w:pPr>
      <w:r w:rsidRPr="00F101A0">
        <w:rPr>
          <w:rFonts w:ascii="Arial" w:hAnsi="Arial" w:cs="Arial"/>
          <w:sz w:val="24"/>
          <w:szCs w:val="24"/>
        </w:rPr>
        <w:t xml:space="preserve">Zambia to </w:t>
      </w:r>
      <w:r w:rsidR="008A72AC" w:rsidRPr="00F101A0">
        <w:rPr>
          <w:rFonts w:ascii="Arial" w:hAnsi="Arial" w:cs="Arial"/>
          <w:sz w:val="24"/>
          <w:szCs w:val="24"/>
        </w:rPr>
        <w:t>provide</w:t>
      </w:r>
      <w:r w:rsidR="005E34CB" w:rsidRPr="00F101A0">
        <w:rPr>
          <w:rFonts w:ascii="Arial" w:hAnsi="Arial" w:cs="Arial"/>
          <w:sz w:val="24"/>
          <w:szCs w:val="24"/>
        </w:rPr>
        <w:t xml:space="preserve"> text </w:t>
      </w:r>
      <w:r w:rsidR="008A72AC" w:rsidRPr="00F101A0">
        <w:rPr>
          <w:rFonts w:ascii="Arial" w:hAnsi="Arial" w:cs="Arial"/>
          <w:sz w:val="24"/>
          <w:szCs w:val="24"/>
        </w:rPr>
        <w:t xml:space="preserve">proposal </w:t>
      </w:r>
      <w:r w:rsidR="005E34CB" w:rsidRPr="00F101A0">
        <w:rPr>
          <w:rFonts w:ascii="Arial" w:hAnsi="Arial" w:cs="Arial"/>
          <w:sz w:val="24"/>
          <w:szCs w:val="24"/>
        </w:rPr>
        <w:t>on the interface between the existing bilateral MRAs and the SADC regional MRAs</w:t>
      </w:r>
      <w:r w:rsidR="008A72AC" w:rsidRPr="00F101A0">
        <w:rPr>
          <w:rFonts w:ascii="Arial" w:hAnsi="Arial" w:cs="Arial"/>
          <w:sz w:val="24"/>
          <w:szCs w:val="24"/>
        </w:rPr>
        <w:t xml:space="preserve"> for consideration by Member States at the next TNF</w:t>
      </w:r>
      <w:r w:rsidR="00F101A0">
        <w:rPr>
          <w:rFonts w:ascii="Arial" w:hAnsi="Arial" w:cs="Arial"/>
          <w:sz w:val="24"/>
          <w:szCs w:val="24"/>
        </w:rPr>
        <w:t>-Services</w:t>
      </w:r>
      <w:r w:rsidR="008A72AC" w:rsidRPr="00F101A0">
        <w:rPr>
          <w:rFonts w:ascii="Arial" w:hAnsi="Arial" w:cs="Arial"/>
          <w:sz w:val="24"/>
          <w:szCs w:val="24"/>
        </w:rPr>
        <w:t xml:space="preserve"> meeting</w:t>
      </w:r>
      <w:r w:rsidR="002C4E79" w:rsidRPr="00F101A0">
        <w:rPr>
          <w:rFonts w:ascii="Arial" w:hAnsi="Arial" w:cs="Arial"/>
          <w:sz w:val="24"/>
          <w:szCs w:val="24"/>
        </w:rPr>
        <w:t>.</w:t>
      </w:r>
    </w:p>
    <w:p w14:paraId="683435F7" w14:textId="77777777" w:rsidR="008E12FD" w:rsidRPr="00F101A0" w:rsidRDefault="00BF3361" w:rsidP="008E12FD">
      <w:pPr>
        <w:rPr>
          <w:rFonts w:ascii="Arial Bold" w:hAnsi="Arial Bold"/>
          <w:b/>
          <w:bCs/>
          <w:caps/>
        </w:rPr>
      </w:pPr>
      <w:r w:rsidRPr="00F101A0">
        <w:rPr>
          <w:rFonts w:ascii="Arial Bold" w:hAnsi="Arial Bold"/>
          <w:b/>
          <w:bCs/>
          <w:caps/>
        </w:rPr>
        <w:tab/>
      </w:r>
    </w:p>
    <w:p w14:paraId="663C4F3A" w14:textId="6B9D5E89" w:rsidR="00F30803" w:rsidRPr="00F101A0" w:rsidRDefault="00D32F94" w:rsidP="008E12FD">
      <w:pPr>
        <w:pStyle w:val="ListParagraph"/>
        <w:numPr>
          <w:ilvl w:val="2"/>
          <w:numId w:val="1"/>
        </w:numPr>
        <w:spacing w:before="240" w:after="0" w:line="312" w:lineRule="auto"/>
        <w:ind w:hanging="1224"/>
        <w:jc w:val="both"/>
        <w:rPr>
          <w:rFonts w:ascii="Arial Bold" w:hAnsi="Arial Bold" w:cs="Arial"/>
          <w:b/>
          <w:bCs/>
          <w:caps/>
          <w:sz w:val="24"/>
          <w:szCs w:val="24"/>
        </w:rPr>
      </w:pPr>
      <w:r w:rsidRPr="00F101A0">
        <w:rPr>
          <w:rFonts w:ascii="Arial Bold" w:hAnsi="Arial Bold" w:cs="Arial"/>
          <w:b/>
          <w:bCs/>
          <w:caps/>
          <w:sz w:val="24"/>
          <w:szCs w:val="24"/>
        </w:rPr>
        <w:t xml:space="preserve">Structure of </w:t>
      </w:r>
      <w:r w:rsidR="00271D54" w:rsidRPr="00F101A0">
        <w:rPr>
          <w:rFonts w:ascii="Arial Bold" w:hAnsi="Arial Bold" w:cs="Arial"/>
          <w:b/>
          <w:bCs/>
          <w:caps/>
          <w:sz w:val="24"/>
          <w:szCs w:val="24"/>
        </w:rPr>
        <w:t>AN</w:t>
      </w:r>
      <w:r w:rsidRPr="00F101A0">
        <w:rPr>
          <w:rFonts w:ascii="Arial Bold" w:hAnsi="Arial Bold" w:cs="Arial"/>
          <w:b/>
          <w:bCs/>
          <w:caps/>
          <w:sz w:val="24"/>
          <w:szCs w:val="24"/>
        </w:rPr>
        <w:t xml:space="preserve"> MRA</w:t>
      </w:r>
      <w:r w:rsidR="00084379" w:rsidRPr="00F101A0">
        <w:rPr>
          <w:rFonts w:ascii="Arial Bold" w:hAnsi="Arial Bold" w:cs="Arial"/>
          <w:b/>
          <w:bCs/>
          <w:sz w:val="24"/>
          <w:szCs w:val="24"/>
        </w:rPr>
        <w:t xml:space="preserve"> [</w:t>
      </w:r>
      <w:r w:rsidR="00084379" w:rsidRPr="00F101A0">
        <w:rPr>
          <w:rFonts w:ascii="Arial Bold" w:hAnsi="Arial Bold" w:cs="Arial"/>
          <w:b/>
          <w:bCs/>
          <w:caps/>
          <w:sz w:val="24"/>
          <w:szCs w:val="24"/>
        </w:rPr>
        <w:t>section 9</w:t>
      </w:r>
      <w:r w:rsidR="00084379" w:rsidRPr="00F101A0">
        <w:rPr>
          <w:rFonts w:ascii="Arial Bold" w:hAnsi="Arial Bold" w:cs="Arial"/>
          <w:b/>
          <w:bCs/>
          <w:sz w:val="24"/>
          <w:szCs w:val="24"/>
        </w:rPr>
        <w:t>]</w:t>
      </w:r>
    </w:p>
    <w:p w14:paraId="415180AE" w14:textId="2CEEFC1C" w:rsidR="002A728E" w:rsidRPr="00F101A0" w:rsidRDefault="000743A5" w:rsidP="002A728E">
      <w:pPr>
        <w:pStyle w:val="ListParagraph"/>
        <w:numPr>
          <w:ilvl w:val="0"/>
          <w:numId w:val="27"/>
        </w:numPr>
        <w:spacing w:before="240" w:after="0" w:line="312" w:lineRule="auto"/>
        <w:ind w:hanging="761"/>
        <w:jc w:val="both"/>
        <w:rPr>
          <w:rFonts w:ascii="Arial" w:hAnsi="Arial" w:cs="Arial"/>
          <w:sz w:val="24"/>
          <w:szCs w:val="24"/>
        </w:rPr>
      </w:pPr>
      <w:r w:rsidRPr="00F101A0">
        <w:rPr>
          <w:rFonts w:ascii="Arial" w:hAnsi="Arial" w:cs="Arial"/>
          <w:b/>
          <w:bCs/>
          <w:sz w:val="24"/>
          <w:szCs w:val="24"/>
        </w:rPr>
        <w:t>P</w:t>
      </w:r>
      <w:r w:rsidR="008646AA" w:rsidRPr="00F101A0">
        <w:rPr>
          <w:rFonts w:ascii="Arial" w:hAnsi="Arial" w:cs="Arial"/>
          <w:b/>
          <w:bCs/>
          <w:sz w:val="24"/>
          <w:szCs w:val="24"/>
        </w:rPr>
        <w:t>aragraph 9.</w:t>
      </w:r>
      <w:r w:rsidR="006831FB" w:rsidRPr="00F101A0">
        <w:rPr>
          <w:rFonts w:ascii="Arial" w:hAnsi="Arial" w:cs="Arial"/>
          <w:b/>
          <w:bCs/>
          <w:sz w:val="24"/>
          <w:szCs w:val="24"/>
        </w:rPr>
        <w:t>3</w:t>
      </w:r>
      <w:r w:rsidRPr="00F101A0">
        <w:rPr>
          <w:rFonts w:ascii="Arial" w:hAnsi="Arial" w:cs="Arial"/>
          <w:sz w:val="24"/>
          <w:szCs w:val="24"/>
        </w:rPr>
        <w:t xml:space="preserve"> </w:t>
      </w:r>
      <w:r w:rsidR="008E12FD" w:rsidRPr="00F101A0">
        <w:rPr>
          <w:rFonts w:ascii="Arial" w:hAnsi="Arial" w:cs="Arial"/>
          <w:sz w:val="24"/>
          <w:szCs w:val="24"/>
        </w:rPr>
        <w:t>–</w:t>
      </w:r>
      <w:r w:rsidRPr="00F101A0">
        <w:rPr>
          <w:rFonts w:ascii="Arial" w:hAnsi="Arial" w:cs="Arial"/>
          <w:sz w:val="24"/>
          <w:szCs w:val="24"/>
        </w:rPr>
        <w:t xml:space="preserve"> </w:t>
      </w:r>
      <w:r w:rsidR="008E12FD" w:rsidRPr="00F101A0">
        <w:rPr>
          <w:rFonts w:ascii="Arial" w:hAnsi="Arial" w:cs="Arial"/>
          <w:sz w:val="24"/>
          <w:szCs w:val="24"/>
        </w:rPr>
        <w:t>S</w:t>
      </w:r>
      <w:r w:rsidR="00741749" w:rsidRPr="00F101A0">
        <w:rPr>
          <w:rFonts w:ascii="Arial" w:hAnsi="Arial" w:cs="Arial"/>
          <w:sz w:val="24"/>
          <w:szCs w:val="24"/>
        </w:rPr>
        <w:t xml:space="preserve">ome Member States </w:t>
      </w:r>
      <w:r w:rsidR="00BB5DAE" w:rsidRPr="00F101A0">
        <w:rPr>
          <w:rFonts w:ascii="Arial" w:hAnsi="Arial" w:cs="Arial"/>
          <w:sz w:val="24"/>
          <w:szCs w:val="24"/>
        </w:rPr>
        <w:t>highlighted the need to ensure that</w:t>
      </w:r>
      <w:r w:rsidR="00741749" w:rsidRPr="00F101A0">
        <w:rPr>
          <w:rFonts w:ascii="Arial" w:hAnsi="Arial" w:cs="Arial"/>
          <w:sz w:val="24"/>
          <w:szCs w:val="24"/>
        </w:rPr>
        <w:t xml:space="preserve"> the application of the national treatment principle </w:t>
      </w:r>
      <w:r w:rsidR="00563C07" w:rsidRPr="00F101A0">
        <w:rPr>
          <w:rFonts w:ascii="Arial" w:hAnsi="Arial" w:cs="Arial"/>
          <w:sz w:val="24"/>
          <w:szCs w:val="24"/>
        </w:rPr>
        <w:t>in recogni</w:t>
      </w:r>
      <w:r w:rsidR="00B321B7" w:rsidRPr="00F101A0">
        <w:rPr>
          <w:rFonts w:ascii="Arial" w:hAnsi="Arial" w:cs="Arial"/>
          <w:sz w:val="24"/>
          <w:szCs w:val="24"/>
        </w:rPr>
        <w:t>sing</w:t>
      </w:r>
      <w:r w:rsidR="00563C07" w:rsidRPr="00F101A0">
        <w:rPr>
          <w:rFonts w:ascii="Arial" w:hAnsi="Arial" w:cs="Arial"/>
          <w:sz w:val="24"/>
          <w:szCs w:val="24"/>
        </w:rPr>
        <w:t xml:space="preserve"> professional qualification</w:t>
      </w:r>
      <w:r w:rsidR="00B321B7" w:rsidRPr="00F101A0">
        <w:rPr>
          <w:rFonts w:ascii="Arial" w:hAnsi="Arial" w:cs="Arial"/>
          <w:sz w:val="24"/>
          <w:szCs w:val="24"/>
        </w:rPr>
        <w:t>s</w:t>
      </w:r>
      <w:r w:rsidR="00741749" w:rsidRPr="00F101A0">
        <w:rPr>
          <w:rFonts w:ascii="Arial" w:hAnsi="Arial" w:cs="Arial"/>
          <w:sz w:val="24"/>
          <w:szCs w:val="24"/>
        </w:rPr>
        <w:t xml:space="preserve"> </w:t>
      </w:r>
      <w:r w:rsidR="00B8785E" w:rsidRPr="00F101A0">
        <w:rPr>
          <w:rFonts w:ascii="Arial" w:hAnsi="Arial" w:cs="Arial"/>
          <w:sz w:val="24"/>
          <w:szCs w:val="24"/>
        </w:rPr>
        <w:t>would</w:t>
      </w:r>
      <w:r w:rsidR="00803378" w:rsidRPr="00F101A0">
        <w:rPr>
          <w:rFonts w:ascii="Arial" w:hAnsi="Arial" w:cs="Arial"/>
          <w:sz w:val="24"/>
          <w:szCs w:val="24"/>
        </w:rPr>
        <w:t xml:space="preserve"> </w:t>
      </w:r>
      <w:r w:rsidR="00B321B7" w:rsidRPr="00F101A0">
        <w:rPr>
          <w:rFonts w:ascii="Arial" w:hAnsi="Arial" w:cs="Arial"/>
          <w:sz w:val="24"/>
          <w:szCs w:val="24"/>
        </w:rPr>
        <w:t xml:space="preserve">not </w:t>
      </w:r>
      <w:r w:rsidR="00F37133" w:rsidRPr="00F101A0">
        <w:rPr>
          <w:rFonts w:ascii="Arial" w:hAnsi="Arial" w:cs="Arial"/>
          <w:sz w:val="24"/>
          <w:szCs w:val="24"/>
        </w:rPr>
        <w:t xml:space="preserve">disadvantage </w:t>
      </w:r>
      <w:r w:rsidR="00B8785E" w:rsidRPr="00F101A0">
        <w:rPr>
          <w:rFonts w:ascii="Arial" w:hAnsi="Arial" w:cs="Arial"/>
          <w:sz w:val="24"/>
          <w:szCs w:val="24"/>
        </w:rPr>
        <w:t>professional</w:t>
      </w:r>
      <w:r w:rsidR="00B321B7" w:rsidRPr="00F101A0">
        <w:rPr>
          <w:rFonts w:ascii="Arial" w:hAnsi="Arial" w:cs="Arial"/>
          <w:sz w:val="24"/>
          <w:szCs w:val="24"/>
        </w:rPr>
        <w:t>s</w:t>
      </w:r>
      <w:r w:rsidR="00B8785E" w:rsidRPr="00F101A0">
        <w:rPr>
          <w:rFonts w:ascii="Arial" w:hAnsi="Arial" w:cs="Arial"/>
          <w:sz w:val="24"/>
          <w:szCs w:val="24"/>
        </w:rPr>
        <w:t xml:space="preserve"> of </w:t>
      </w:r>
      <w:r w:rsidR="00E66656" w:rsidRPr="00F101A0">
        <w:rPr>
          <w:rFonts w:ascii="Arial" w:hAnsi="Arial" w:cs="Arial"/>
          <w:sz w:val="24"/>
          <w:szCs w:val="24"/>
        </w:rPr>
        <w:t>a</w:t>
      </w:r>
      <w:r w:rsidR="00B321B7" w:rsidRPr="00F101A0">
        <w:rPr>
          <w:rFonts w:ascii="Arial" w:hAnsi="Arial" w:cs="Arial"/>
          <w:sz w:val="24"/>
          <w:szCs w:val="24"/>
        </w:rPr>
        <w:t>nother</w:t>
      </w:r>
      <w:r w:rsidR="00E66656" w:rsidRPr="00F101A0">
        <w:rPr>
          <w:rFonts w:ascii="Arial" w:hAnsi="Arial" w:cs="Arial"/>
          <w:sz w:val="24"/>
          <w:szCs w:val="24"/>
        </w:rPr>
        <w:t xml:space="preserve"> State</w:t>
      </w:r>
      <w:r w:rsidR="00B8785E" w:rsidRPr="00F101A0">
        <w:rPr>
          <w:rFonts w:ascii="Arial" w:hAnsi="Arial" w:cs="Arial"/>
          <w:sz w:val="24"/>
          <w:szCs w:val="24"/>
        </w:rPr>
        <w:t xml:space="preserve"> Party</w:t>
      </w:r>
      <w:r w:rsidR="00B321B7" w:rsidRPr="00F101A0">
        <w:rPr>
          <w:rFonts w:ascii="Arial" w:hAnsi="Arial" w:cs="Arial"/>
          <w:sz w:val="24"/>
          <w:szCs w:val="24"/>
        </w:rPr>
        <w:t>, e.g.</w:t>
      </w:r>
      <w:r w:rsidR="00563C07" w:rsidRPr="00F101A0">
        <w:rPr>
          <w:rFonts w:ascii="Arial" w:hAnsi="Arial" w:cs="Arial"/>
          <w:sz w:val="24"/>
          <w:szCs w:val="24"/>
        </w:rPr>
        <w:t>,</w:t>
      </w:r>
      <w:r w:rsidR="00803378" w:rsidRPr="00F101A0">
        <w:rPr>
          <w:rFonts w:ascii="Arial" w:hAnsi="Arial" w:cs="Arial"/>
          <w:sz w:val="24"/>
          <w:szCs w:val="24"/>
        </w:rPr>
        <w:t xml:space="preserve"> </w:t>
      </w:r>
      <w:r w:rsidR="00485978" w:rsidRPr="00F101A0">
        <w:rPr>
          <w:rFonts w:ascii="Arial" w:hAnsi="Arial" w:cs="Arial"/>
          <w:sz w:val="24"/>
          <w:szCs w:val="24"/>
        </w:rPr>
        <w:t>a</w:t>
      </w:r>
      <w:r w:rsidR="00F37133" w:rsidRPr="00F101A0">
        <w:rPr>
          <w:rFonts w:ascii="Arial" w:hAnsi="Arial" w:cs="Arial"/>
          <w:sz w:val="24"/>
          <w:szCs w:val="24"/>
        </w:rPr>
        <w:t xml:space="preserve"> </w:t>
      </w:r>
      <w:r w:rsidR="00485978" w:rsidRPr="00F101A0">
        <w:rPr>
          <w:rFonts w:ascii="Arial" w:hAnsi="Arial" w:cs="Arial"/>
          <w:sz w:val="24"/>
          <w:szCs w:val="24"/>
        </w:rPr>
        <w:t xml:space="preserve">junior </w:t>
      </w:r>
      <w:r w:rsidR="00741749" w:rsidRPr="00F101A0">
        <w:rPr>
          <w:rFonts w:ascii="Arial" w:hAnsi="Arial" w:cs="Arial"/>
          <w:sz w:val="24"/>
          <w:szCs w:val="24"/>
        </w:rPr>
        <w:t xml:space="preserve">professional </w:t>
      </w:r>
      <w:r w:rsidR="00563C07" w:rsidRPr="00F101A0">
        <w:rPr>
          <w:rFonts w:ascii="Arial" w:hAnsi="Arial" w:cs="Arial"/>
          <w:sz w:val="24"/>
          <w:szCs w:val="24"/>
        </w:rPr>
        <w:t xml:space="preserve">of </w:t>
      </w:r>
      <w:r w:rsidR="00181EA0" w:rsidRPr="00F101A0">
        <w:rPr>
          <w:rFonts w:ascii="Arial" w:hAnsi="Arial" w:cs="Arial"/>
          <w:sz w:val="24"/>
          <w:szCs w:val="24"/>
        </w:rPr>
        <w:t>one</w:t>
      </w:r>
      <w:r w:rsidR="00563C07" w:rsidRPr="00F101A0">
        <w:rPr>
          <w:rFonts w:ascii="Arial" w:hAnsi="Arial" w:cs="Arial"/>
          <w:sz w:val="24"/>
          <w:szCs w:val="24"/>
        </w:rPr>
        <w:t xml:space="preserve"> State Party </w:t>
      </w:r>
      <w:r w:rsidR="00741749" w:rsidRPr="00F101A0">
        <w:rPr>
          <w:rFonts w:ascii="Arial" w:hAnsi="Arial" w:cs="Arial"/>
          <w:sz w:val="24"/>
          <w:szCs w:val="24"/>
        </w:rPr>
        <w:t>supervise</w:t>
      </w:r>
      <w:r w:rsidR="00563C07" w:rsidRPr="00F101A0">
        <w:rPr>
          <w:rFonts w:ascii="Arial" w:hAnsi="Arial" w:cs="Arial"/>
          <w:sz w:val="24"/>
          <w:szCs w:val="24"/>
        </w:rPr>
        <w:t>d by</w:t>
      </w:r>
      <w:r w:rsidR="00FD376F" w:rsidRPr="00F101A0">
        <w:rPr>
          <w:rFonts w:ascii="Arial" w:hAnsi="Arial" w:cs="Arial"/>
          <w:sz w:val="24"/>
          <w:szCs w:val="24"/>
        </w:rPr>
        <w:t xml:space="preserve"> a professional </w:t>
      </w:r>
      <w:r w:rsidR="00DA256F">
        <w:rPr>
          <w:rFonts w:ascii="Arial" w:hAnsi="Arial" w:cs="Arial"/>
          <w:sz w:val="24"/>
          <w:szCs w:val="24"/>
        </w:rPr>
        <w:t>registered in</w:t>
      </w:r>
      <w:r w:rsidR="00563C07" w:rsidRPr="00F101A0">
        <w:rPr>
          <w:rFonts w:ascii="Arial" w:hAnsi="Arial" w:cs="Arial"/>
          <w:sz w:val="24"/>
          <w:szCs w:val="24"/>
        </w:rPr>
        <w:t xml:space="preserve"> </w:t>
      </w:r>
      <w:r w:rsidR="00FD376F" w:rsidRPr="00F101A0">
        <w:rPr>
          <w:rFonts w:ascii="Arial" w:hAnsi="Arial" w:cs="Arial"/>
          <w:sz w:val="24"/>
          <w:szCs w:val="24"/>
        </w:rPr>
        <w:t>another State</w:t>
      </w:r>
      <w:r w:rsidR="00563C07" w:rsidRPr="00F101A0">
        <w:rPr>
          <w:rFonts w:ascii="Arial" w:hAnsi="Arial" w:cs="Arial"/>
          <w:sz w:val="24"/>
          <w:szCs w:val="24"/>
        </w:rPr>
        <w:t xml:space="preserve"> Party</w:t>
      </w:r>
      <w:r w:rsidR="00195AAD" w:rsidRPr="00F101A0">
        <w:rPr>
          <w:rFonts w:ascii="Arial" w:hAnsi="Arial" w:cs="Arial"/>
          <w:sz w:val="24"/>
          <w:szCs w:val="24"/>
        </w:rPr>
        <w:t>.</w:t>
      </w:r>
      <w:r w:rsidR="00750065" w:rsidRPr="00F101A0">
        <w:rPr>
          <w:rFonts w:ascii="Arial" w:hAnsi="Arial" w:cs="Arial"/>
          <w:sz w:val="24"/>
          <w:szCs w:val="24"/>
        </w:rPr>
        <w:t xml:space="preserve"> In addition, Member State</w:t>
      </w:r>
      <w:r w:rsidR="00B321B7" w:rsidRPr="00F101A0">
        <w:rPr>
          <w:rFonts w:ascii="Arial" w:hAnsi="Arial" w:cs="Arial"/>
          <w:sz w:val="24"/>
          <w:szCs w:val="24"/>
        </w:rPr>
        <w:t>s</w:t>
      </w:r>
      <w:r w:rsidR="00750065" w:rsidRPr="00F101A0">
        <w:rPr>
          <w:rFonts w:ascii="Arial" w:hAnsi="Arial" w:cs="Arial"/>
          <w:sz w:val="24"/>
          <w:szCs w:val="24"/>
        </w:rPr>
        <w:t xml:space="preserve"> had </w:t>
      </w:r>
      <w:r w:rsidR="001C38AE" w:rsidRPr="00F101A0">
        <w:rPr>
          <w:rFonts w:ascii="Arial" w:hAnsi="Arial" w:cs="Arial"/>
          <w:sz w:val="24"/>
          <w:szCs w:val="24"/>
        </w:rPr>
        <w:t>divergent</w:t>
      </w:r>
      <w:r w:rsidR="00750065" w:rsidRPr="00F101A0">
        <w:rPr>
          <w:rFonts w:ascii="Arial" w:hAnsi="Arial" w:cs="Arial"/>
          <w:sz w:val="24"/>
          <w:szCs w:val="24"/>
        </w:rPr>
        <w:t xml:space="preserve"> views on whether the MRAs should be linked to </w:t>
      </w:r>
      <w:r w:rsidR="001C38AE" w:rsidRPr="00F101A0">
        <w:rPr>
          <w:rFonts w:ascii="Arial" w:hAnsi="Arial" w:cs="Arial"/>
          <w:sz w:val="24"/>
          <w:szCs w:val="24"/>
        </w:rPr>
        <w:t>State Parties’ list</w:t>
      </w:r>
      <w:r w:rsidR="00B321B7" w:rsidRPr="00F101A0">
        <w:rPr>
          <w:rFonts w:ascii="Arial" w:hAnsi="Arial" w:cs="Arial"/>
          <w:sz w:val="24"/>
          <w:szCs w:val="24"/>
        </w:rPr>
        <w:t>s</w:t>
      </w:r>
      <w:r w:rsidR="001C38AE" w:rsidRPr="00F101A0">
        <w:rPr>
          <w:rFonts w:ascii="Arial" w:hAnsi="Arial" w:cs="Arial"/>
          <w:sz w:val="24"/>
          <w:szCs w:val="24"/>
        </w:rPr>
        <w:t xml:space="preserve"> of commitment</w:t>
      </w:r>
      <w:r w:rsidR="00B321B7" w:rsidRPr="00F101A0">
        <w:rPr>
          <w:rFonts w:ascii="Arial" w:hAnsi="Arial" w:cs="Arial"/>
          <w:sz w:val="24"/>
          <w:szCs w:val="24"/>
        </w:rPr>
        <w:t>s</w:t>
      </w:r>
      <w:r w:rsidR="001C38AE" w:rsidRPr="00F101A0">
        <w:rPr>
          <w:rFonts w:ascii="Arial" w:hAnsi="Arial" w:cs="Arial"/>
          <w:sz w:val="24"/>
          <w:szCs w:val="24"/>
        </w:rPr>
        <w:t xml:space="preserve"> or not. Some Member States were of the view that</w:t>
      </w:r>
      <w:r w:rsidR="00D32222" w:rsidRPr="00F101A0">
        <w:rPr>
          <w:rFonts w:ascii="Arial" w:hAnsi="Arial" w:cs="Arial"/>
          <w:sz w:val="24"/>
          <w:szCs w:val="24"/>
        </w:rPr>
        <w:t xml:space="preserve"> the MRAs would facilitate recognition of qualifications </w:t>
      </w:r>
      <w:r w:rsidR="00E2086B" w:rsidRPr="00F101A0">
        <w:rPr>
          <w:rFonts w:ascii="Arial" w:hAnsi="Arial" w:cs="Arial"/>
          <w:sz w:val="24"/>
          <w:szCs w:val="24"/>
        </w:rPr>
        <w:t>in line with the most favoured nation</w:t>
      </w:r>
      <w:r w:rsidR="00181EA0" w:rsidRPr="00F101A0">
        <w:rPr>
          <w:rFonts w:ascii="Arial" w:hAnsi="Arial" w:cs="Arial"/>
          <w:sz w:val="24"/>
          <w:szCs w:val="24"/>
        </w:rPr>
        <w:t xml:space="preserve"> </w:t>
      </w:r>
      <w:r w:rsidR="00E2086B" w:rsidRPr="00F101A0">
        <w:rPr>
          <w:rFonts w:ascii="Arial" w:hAnsi="Arial" w:cs="Arial"/>
          <w:sz w:val="24"/>
          <w:szCs w:val="24"/>
        </w:rPr>
        <w:t xml:space="preserve">(MFN) </w:t>
      </w:r>
      <w:r w:rsidR="00181EA0" w:rsidRPr="00F101A0">
        <w:rPr>
          <w:rFonts w:ascii="Arial" w:hAnsi="Arial" w:cs="Arial"/>
          <w:sz w:val="24"/>
          <w:szCs w:val="24"/>
        </w:rPr>
        <w:t>treatment principle</w:t>
      </w:r>
      <w:r w:rsidR="00E2086B" w:rsidRPr="00F101A0">
        <w:rPr>
          <w:rFonts w:ascii="Arial" w:hAnsi="Arial" w:cs="Arial"/>
          <w:sz w:val="24"/>
          <w:szCs w:val="24"/>
        </w:rPr>
        <w:t xml:space="preserve"> </w:t>
      </w:r>
      <w:r w:rsidR="00D32222" w:rsidRPr="00F101A0">
        <w:rPr>
          <w:rFonts w:ascii="Arial" w:hAnsi="Arial" w:cs="Arial"/>
          <w:sz w:val="24"/>
          <w:szCs w:val="24"/>
        </w:rPr>
        <w:t>even in cases where a State Part</w:t>
      </w:r>
      <w:r w:rsidR="00B321B7" w:rsidRPr="00F101A0">
        <w:rPr>
          <w:rFonts w:ascii="Arial" w:hAnsi="Arial" w:cs="Arial"/>
          <w:sz w:val="24"/>
          <w:szCs w:val="24"/>
        </w:rPr>
        <w:t>y</w:t>
      </w:r>
      <w:r w:rsidR="00D32222" w:rsidRPr="00F101A0">
        <w:rPr>
          <w:rFonts w:ascii="Arial" w:hAnsi="Arial" w:cs="Arial"/>
          <w:sz w:val="24"/>
          <w:szCs w:val="24"/>
        </w:rPr>
        <w:t xml:space="preserve"> ha</w:t>
      </w:r>
      <w:r w:rsidR="00B321B7" w:rsidRPr="00F101A0">
        <w:rPr>
          <w:rFonts w:ascii="Arial" w:hAnsi="Arial" w:cs="Arial"/>
          <w:sz w:val="24"/>
          <w:szCs w:val="24"/>
        </w:rPr>
        <w:t>d</w:t>
      </w:r>
      <w:r w:rsidR="00D32222" w:rsidRPr="00F101A0">
        <w:rPr>
          <w:rFonts w:ascii="Arial" w:hAnsi="Arial" w:cs="Arial"/>
          <w:sz w:val="24"/>
          <w:szCs w:val="24"/>
        </w:rPr>
        <w:t xml:space="preserve"> no </w:t>
      </w:r>
      <w:r w:rsidR="000E0860" w:rsidRPr="00F101A0">
        <w:rPr>
          <w:rFonts w:ascii="Arial" w:hAnsi="Arial" w:cs="Arial"/>
          <w:sz w:val="24"/>
          <w:szCs w:val="24"/>
        </w:rPr>
        <w:t>liberalisation</w:t>
      </w:r>
      <w:r w:rsidR="00D32222" w:rsidRPr="00F101A0">
        <w:rPr>
          <w:rFonts w:ascii="Arial" w:hAnsi="Arial" w:cs="Arial"/>
          <w:sz w:val="24"/>
          <w:szCs w:val="24"/>
        </w:rPr>
        <w:t xml:space="preserve"> commitments </w:t>
      </w:r>
      <w:r w:rsidR="000E0860" w:rsidRPr="00F101A0">
        <w:rPr>
          <w:rFonts w:ascii="Arial" w:hAnsi="Arial" w:cs="Arial"/>
          <w:sz w:val="24"/>
          <w:szCs w:val="24"/>
        </w:rPr>
        <w:t xml:space="preserve">under the </w:t>
      </w:r>
      <w:r w:rsidR="00C047AB" w:rsidRPr="00F101A0">
        <w:rPr>
          <w:rFonts w:ascii="Arial" w:hAnsi="Arial" w:cs="Arial"/>
          <w:sz w:val="24"/>
          <w:szCs w:val="24"/>
        </w:rPr>
        <w:t xml:space="preserve">Protocol, </w:t>
      </w:r>
      <w:r w:rsidR="00181EA0" w:rsidRPr="00F101A0">
        <w:rPr>
          <w:rFonts w:ascii="Arial" w:hAnsi="Arial" w:cs="Arial"/>
          <w:sz w:val="24"/>
          <w:szCs w:val="24"/>
        </w:rPr>
        <w:t>as well as in</w:t>
      </w:r>
      <w:r w:rsidR="00C047AB" w:rsidRPr="00F101A0">
        <w:rPr>
          <w:rFonts w:ascii="Arial" w:hAnsi="Arial" w:cs="Arial"/>
          <w:sz w:val="24"/>
          <w:szCs w:val="24"/>
        </w:rPr>
        <w:t xml:space="preserve"> case</w:t>
      </w:r>
      <w:r w:rsidR="00181EA0" w:rsidRPr="00F101A0">
        <w:rPr>
          <w:rFonts w:ascii="Arial" w:hAnsi="Arial" w:cs="Arial"/>
          <w:sz w:val="24"/>
          <w:szCs w:val="24"/>
        </w:rPr>
        <w:t>s</w:t>
      </w:r>
      <w:r w:rsidR="00C047AB" w:rsidRPr="00F101A0">
        <w:rPr>
          <w:rFonts w:ascii="Arial" w:hAnsi="Arial" w:cs="Arial"/>
          <w:sz w:val="24"/>
          <w:szCs w:val="24"/>
        </w:rPr>
        <w:t xml:space="preserve"> of </w:t>
      </w:r>
      <w:r w:rsidR="000E0860" w:rsidRPr="00F101A0">
        <w:rPr>
          <w:rFonts w:ascii="Arial" w:hAnsi="Arial" w:cs="Arial"/>
          <w:sz w:val="24"/>
          <w:szCs w:val="24"/>
        </w:rPr>
        <w:t xml:space="preserve">unilateral </w:t>
      </w:r>
      <w:r w:rsidR="00C047AB" w:rsidRPr="00F101A0">
        <w:rPr>
          <w:rFonts w:ascii="Arial" w:hAnsi="Arial" w:cs="Arial"/>
          <w:sz w:val="24"/>
          <w:szCs w:val="24"/>
        </w:rPr>
        <w:t>liberalisation efforts</w:t>
      </w:r>
      <w:r w:rsidR="00181EA0" w:rsidRPr="00F101A0">
        <w:rPr>
          <w:rFonts w:ascii="Arial" w:hAnsi="Arial" w:cs="Arial"/>
          <w:sz w:val="24"/>
          <w:szCs w:val="24"/>
        </w:rPr>
        <w:t xml:space="preserve">.  It was also noted that </w:t>
      </w:r>
      <w:r w:rsidR="00F101A0" w:rsidRPr="00F101A0">
        <w:rPr>
          <w:rFonts w:ascii="Arial" w:hAnsi="Arial" w:cs="Arial"/>
          <w:sz w:val="24"/>
          <w:szCs w:val="24"/>
        </w:rPr>
        <w:t xml:space="preserve">the </w:t>
      </w:r>
      <w:r w:rsidR="00181EA0" w:rsidRPr="00F101A0">
        <w:rPr>
          <w:rFonts w:ascii="Arial" w:hAnsi="Arial" w:cs="Arial"/>
          <w:sz w:val="24"/>
          <w:szCs w:val="24"/>
        </w:rPr>
        <w:t>MRAs would contribute to</w:t>
      </w:r>
      <w:r w:rsidR="00C047AB" w:rsidRPr="00F101A0">
        <w:rPr>
          <w:rFonts w:ascii="Arial" w:hAnsi="Arial" w:cs="Arial"/>
          <w:sz w:val="24"/>
          <w:szCs w:val="24"/>
        </w:rPr>
        <w:t xml:space="preserve"> development of the profession. </w:t>
      </w:r>
    </w:p>
    <w:p w14:paraId="54070CA2" w14:textId="7533AEA6" w:rsidR="00E4541E" w:rsidRPr="00F101A0" w:rsidRDefault="002A728E" w:rsidP="00F101A0">
      <w:pPr>
        <w:pStyle w:val="ListParagraph"/>
        <w:numPr>
          <w:ilvl w:val="0"/>
          <w:numId w:val="27"/>
        </w:numPr>
        <w:spacing w:before="240" w:after="0" w:line="312" w:lineRule="auto"/>
        <w:ind w:hanging="761"/>
        <w:jc w:val="both"/>
        <w:rPr>
          <w:rFonts w:ascii="Arial" w:hAnsi="Arial" w:cs="Arial"/>
          <w:sz w:val="24"/>
          <w:szCs w:val="24"/>
        </w:rPr>
      </w:pPr>
      <w:r w:rsidRPr="00F101A0">
        <w:rPr>
          <w:rFonts w:ascii="Arial" w:hAnsi="Arial" w:cs="Arial"/>
          <w:sz w:val="24"/>
          <w:szCs w:val="24"/>
        </w:rPr>
        <w:t>In addition, some Member States proposed</w:t>
      </w:r>
      <w:r w:rsidRPr="00F101A0">
        <w:rPr>
          <w:rFonts w:ascii="Arial" w:eastAsiaTheme="minorHAnsi" w:hAnsi="Arial" w:cs="Arial"/>
          <w:kern w:val="2"/>
          <w:sz w:val="24"/>
          <w:szCs w:val="24"/>
          <w14:ligatures w14:val="standardContextual"/>
        </w:rPr>
        <w:t xml:space="preserve"> </w:t>
      </w:r>
      <w:r w:rsidR="00B321B7" w:rsidRPr="00F101A0">
        <w:rPr>
          <w:rFonts w:ascii="Arial" w:eastAsiaTheme="minorHAnsi" w:hAnsi="Arial" w:cs="Arial"/>
          <w:kern w:val="2"/>
          <w:sz w:val="24"/>
          <w:szCs w:val="24"/>
          <w14:ligatures w14:val="standardContextual"/>
        </w:rPr>
        <w:t>t</w:t>
      </w:r>
      <w:r w:rsidR="000B4AA3" w:rsidRPr="00F101A0">
        <w:rPr>
          <w:rFonts w:ascii="Arial" w:hAnsi="Arial" w:cs="Arial"/>
          <w:sz w:val="24"/>
          <w:szCs w:val="24"/>
        </w:rPr>
        <w:t xml:space="preserve">hat the last part of paragraph 9.3, which read </w:t>
      </w:r>
      <w:r w:rsidR="006542D3" w:rsidRPr="00F101A0">
        <w:rPr>
          <w:rFonts w:ascii="Arial" w:hAnsi="Arial" w:cs="Arial"/>
          <w:sz w:val="24"/>
          <w:szCs w:val="24"/>
        </w:rPr>
        <w:t>“</w:t>
      </w:r>
      <w:r w:rsidR="001E17F3" w:rsidRPr="00F101A0">
        <w:rPr>
          <w:rFonts w:ascii="Arial" w:hAnsi="Arial" w:cs="Arial"/>
          <w:i/>
          <w:iCs/>
          <w:sz w:val="24"/>
          <w:szCs w:val="24"/>
        </w:rPr>
        <w:t>nothing in a final</w:t>
      </w:r>
      <w:r w:rsidR="002E1EAB" w:rsidRPr="00F101A0">
        <w:rPr>
          <w:rFonts w:ascii="Arial" w:hAnsi="Arial" w:cs="Arial"/>
          <w:i/>
          <w:iCs/>
          <w:sz w:val="24"/>
          <w:szCs w:val="24"/>
        </w:rPr>
        <w:t xml:space="preserve"> MRA shall </w:t>
      </w:r>
      <w:r w:rsidR="001E17F3" w:rsidRPr="00F101A0">
        <w:rPr>
          <w:rFonts w:ascii="Arial" w:hAnsi="Arial" w:cs="Arial"/>
          <w:i/>
          <w:iCs/>
          <w:sz w:val="24"/>
          <w:szCs w:val="24"/>
        </w:rPr>
        <w:t>imply or be constr</w:t>
      </w:r>
      <w:r w:rsidR="002E1EAB" w:rsidRPr="00F101A0">
        <w:rPr>
          <w:rFonts w:ascii="Arial" w:hAnsi="Arial" w:cs="Arial"/>
          <w:i/>
          <w:iCs/>
          <w:sz w:val="24"/>
          <w:szCs w:val="24"/>
        </w:rPr>
        <w:t xml:space="preserve">ued </w:t>
      </w:r>
      <w:r w:rsidR="001E17F3" w:rsidRPr="00F101A0">
        <w:rPr>
          <w:rFonts w:ascii="Arial" w:hAnsi="Arial" w:cs="Arial"/>
          <w:i/>
          <w:iCs/>
          <w:sz w:val="24"/>
          <w:szCs w:val="24"/>
        </w:rPr>
        <w:t>to grant market access or</w:t>
      </w:r>
      <w:r w:rsidR="00DD3F74" w:rsidRPr="00F101A0">
        <w:rPr>
          <w:rFonts w:ascii="Arial" w:hAnsi="Arial" w:cs="Arial"/>
          <w:i/>
          <w:iCs/>
          <w:sz w:val="24"/>
          <w:szCs w:val="24"/>
        </w:rPr>
        <w:t xml:space="preserve"> national treatment in professional services …</w:t>
      </w:r>
      <w:r w:rsidR="006542D3" w:rsidRPr="00F101A0">
        <w:rPr>
          <w:rFonts w:ascii="Arial" w:hAnsi="Arial" w:cs="Arial"/>
          <w:sz w:val="24"/>
          <w:szCs w:val="24"/>
        </w:rPr>
        <w:t>”</w:t>
      </w:r>
      <w:r w:rsidR="00DD3F74" w:rsidRPr="00F101A0">
        <w:rPr>
          <w:rFonts w:ascii="Arial" w:hAnsi="Arial" w:cs="Arial"/>
          <w:sz w:val="24"/>
          <w:szCs w:val="24"/>
        </w:rPr>
        <w:t xml:space="preserve"> be placed into an appropriate section</w:t>
      </w:r>
      <w:r w:rsidR="00B321B7" w:rsidRPr="00F101A0">
        <w:rPr>
          <w:rFonts w:ascii="Arial" w:hAnsi="Arial" w:cs="Arial"/>
          <w:sz w:val="24"/>
          <w:szCs w:val="24"/>
        </w:rPr>
        <w:t xml:space="preserve"> dealing</w:t>
      </w:r>
      <w:r w:rsidR="009D1E9F" w:rsidRPr="00F101A0">
        <w:rPr>
          <w:rFonts w:ascii="Arial" w:hAnsi="Arial" w:cs="Arial"/>
          <w:sz w:val="24"/>
          <w:szCs w:val="24"/>
        </w:rPr>
        <w:t xml:space="preserve"> with the application of the MRAs </w:t>
      </w:r>
      <w:r w:rsidR="00B321B7" w:rsidRPr="00F101A0">
        <w:rPr>
          <w:rFonts w:ascii="Arial" w:hAnsi="Arial" w:cs="Arial"/>
          <w:sz w:val="24"/>
          <w:szCs w:val="24"/>
        </w:rPr>
        <w:t>rather than</w:t>
      </w:r>
      <w:r w:rsidR="009D1E9F" w:rsidRPr="00F101A0">
        <w:rPr>
          <w:rFonts w:ascii="Arial" w:hAnsi="Arial" w:cs="Arial"/>
          <w:sz w:val="24"/>
          <w:szCs w:val="24"/>
        </w:rPr>
        <w:t xml:space="preserve"> the </w:t>
      </w:r>
      <w:r w:rsidR="00736D0D" w:rsidRPr="00F101A0">
        <w:rPr>
          <w:rFonts w:ascii="Arial" w:hAnsi="Arial" w:cs="Arial"/>
          <w:sz w:val="24"/>
          <w:szCs w:val="24"/>
        </w:rPr>
        <w:t>structure of an MRA.</w:t>
      </w:r>
    </w:p>
    <w:p w14:paraId="1EEA5FE5" w14:textId="603102F9" w:rsidR="00E4541E" w:rsidRPr="00F101A0" w:rsidRDefault="00E4541E" w:rsidP="00F101A0">
      <w:pPr>
        <w:pStyle w:val="ListParagraph"/>
        <w:numPr>
          <w:ilvl w:val="0"/>
          <w:numId w:val="27"/>
        </w:numPr>
        <w:spacing w:before="240" w:after="0" w:line="312" w:lineRule="auto"/>
        <w:ind w:hanging="761"/>
        <w:jc w:val="both"/>
        <w:rPr>
          <w:rFonts w:ascii="Arial" w:hAnsi="Arial" w:cs="Arial"/>
          <w:sz w:val="24"/>
          <w:szCs w:val="24"/>
          <w:u w:val="single"/>
        </w:rPr>
      </w:pPr>
      <w:r w:rsidRPr="00F101A0">
        <w:rPr>
          <w:rFonts w:ascii="Arial" w:hAnsi="Arial" w:cs="Arial"/>
          <w:sz w:val="24"/>
          <w:szCs w:val="24"/>
          <w:u w:val="single"/>
        </w:rPr>
        <w:t>Conclusion 1</w:t>
      </w:r>
      <w:r w:rsidR="00105128" w:rsidRPr="00F101A0">
        <w:rPr>
          <w:rFonts w:ascii="Arial" w:hAnsi="Arial" w:cs="Arial"/>
          <w:sz w:val="24"/>
          <w:szCs w:val="24"/>
          <w:u w:val="single"/>
        </w:rPr>
        <w:t>1</w:t>
      </w:r>
      <w:r w:rsidRPr="00F101A0">
        <w:rPr>
          <w:rFonts w:ascii="Arial" w:hAnsi="Arial" w:cs="Arial"/>
          <w:sz w:val="24"/>
          <w:szCs w:val="24"/>
          <w:u w:val="single"/>
        </w:rPr>
        <w:t xml:space="preserve">: </w:t>
      </w:r>
      <w:r w:rsidR="008E09FF" w:rsidRPr="00F101A0">
        <w:rPr>
          <w:rFonts w:ascii="Arial" w:hAnsi="Arial" w:cs="Arial"/>
          <w:sz w:val="24"/>
          <w:szCs w:val="24"/>
          <w:u w:val="single"/>
        </w:rPr>
        <w:t>S</w:t>
      </w:r>
      <w:r w:rsidRPr="00F101A0">
        <w:rPr>
          <w:rFonts w:ascii="Arial" w:hAnsi="Arial" w:cs="Arial"/>
          <w:sz w:val="24"/>
          <w:szCs w:val="24"/>
          <w:u w:val="single"/>
        </w:rPr>
        <w:t>tructure of an MRAs</w:t>
      </w:r>
      <w:r w:rsidR="008E09FF" w:rsidRPr="00F101A0">
        <w:rPr>
          <w:rFonts w:ascii="Arial" w:hAnsi="Arial" w:cs="Arial"/>
          <w:sz w:val="24"/>
          <w:szCs w:val="24"/>
          <w:u w:val="single"/>
        </w:rPr>
        <w:t xml:space="preserve"> [Section 9]</w:t>
      </w:r>
    </w:p>
    <w:p w14:paraId="0E4BF069" w14:textId="7FAB389A" w:rsidR="008E09FF" w:rsidRPr="00F101A0" w:rsidRDefault="006C1249" w:rsidP="00F101A0">
      <w:pPr>
        <w:shd w:val="clear" w:color="auto" w:fill="D9D9D9" w:themeFill="background1" w:themeFillShade="D9"/>
        <w:spacing w:before="240" w:after="0" w:line="312" w:lineRule="auto"/>
        <w:ind w:left="1620"/>
        <w:jc w:val="both"/>
        <w:rPr>
          <w:rFonts w:ascii="Arial" w:hAnsi="Arial" w:cs="Arial"/>
          <w:sz w:val="24"/>
          <w:szCs w:val="24"/>
        </w:rPr>
      </w:pPr>
      <w:r w:rsidRPr="00F101A0">
        <w:rPr>
          <w:rFonts w:ascii="Arial" w:hAnsi="Arial" w:cs="Arial"/>
          <w:sz w:val="24"/>
          <w:szCs w:val="24"/>
        </w:rPr>
        <w:lastRenderedPageBreak/>
        <w:t>B</w:t>
      </w:r>
      <w:r w:rsidR="008E09FF" w:rsidRPr="00F101A0">
        <w:rPr>
          <w:rFonts w:ascii="Arial" w:hAnsi="Arial" w:cs="Arial"/>
          <w:sz w:val="24"/>
          <w:szCs w:val="24"/>
        </w:rPr>
        <w:t>racket t</w:t>
      </w:r>
      <w:r w:rsidR="00075A45" w:rsidRPr="00F101A0">
        <w:rPr>
          <w:rFonts w:ascii="Arial" w:hAnsi="Arial" w:cs="Arial"/>
          <w:sz w:val="24"/>
          <w:szCs w:val="24"/>
        </w:rPr>
        <w:t xml:space="preserve">he entire paragraph </w:t>
      </w:r>
      <w:r w:rsidR="00464574" w:rsidRPr="00F101A0">
        <w:rPr>
          <w:rFonts w:ascii="Arial" w:hAnsi="Arial" w:cs="Arial"/>
          <w:sz w:val="24"/>
          <w:szCs w:val="24"/>
        </w:rPr>
        <w:t xml:space="preserve">9.3 </w:t>
      </w:r>
      <w:r w:rsidRPr="00F101A0">
        <w:rPr>
          <w:rFonts w:ascii="Arial" w:hAnsi="Arial" w:cs="Arial"/>
          <w:sz w:val="24"/>
          <w:szCs w:val="24"/>
        </w:rPr>
        <w:t>for consideration by Member States at the next</w:t>
      </w:r>
      <w:r w:rsidR="00075A45" w:rsidRPr="00F101A0">
        <w:rPr>
          <w:rFonts w:ascii="Arial" w:hAnsi="Arial" w:cs="Arial"/>
          <w:sz w:val="24"/>
          <w:szCs w:val="24"/>
        </w:rPr>
        <w:t xml:space="preserve"> TNF-Services</w:t>
      </w:r>
      <w:r w:rsidR="00B321B7" w:rsidRPr="00F101A0">
        <w:rPr>
          <w:rFonts w:ascii="Arial" w:hAnsi="Arial" w:cs="Arial"/>
          <w:sz w:val="24"/>
          <w:szCs w:val="24"/>
        </w:rPr>
        <w:t xml:space="preserve"> meeting</w:t>
      </w:r>
      <w:r w:rsidR="00075A45" w:rsidRPr="00F101A0">
        <w:rPr>
          <w:rFonts w:ascii="Arial" w:hAnsi="Arial" w:cs="Arial"/>
          <w:sz w:val="24"/>
          <w:szCs w:val="24"/>
        </w:rPr>
        <w:t>.</w:t>
      </w:r>
    </w:p>
    <w:p w14:paraId="658FD2BF" w14:textId="77777777" w:rsidR="00F30803" w:rsidRPr="00F101A0" w:rsidRDefault="00F30803" w:rsidP="00F30803">
      <w:pPr>
        <w:tabs>
          <w:tab w:val="left" w:pos="1170"/>
        </w:tabs>
        <w:spacing w:after="0" w:line="312" w:lineRule="auto"/>
        <w:rPr>
          <w:rFonts w:ascii="Arial" w:hAnsi="Arial" w:cs="Arial"/>
          <w:sz w:val="24"/>
          <w:szCs w:val="24"/>
        </w:rPr>
      </w:pPr>
    </w:p>
    <w:p w14:paraId="01E8A225" w14:textId="4CD28D01" w:rsidR="00602E8E" w:rsidRPr="00F101A0" w:rsidRDefault="00602E8E" w:rsidP="00F101A0">
      <w:pPr>
        <w:pStyle w:val="ListParagraph"/>
        <w:numPr>
          <w:ilvl w:val="2"/>
          <w:numId w:val="1"/>
        </w:numPr>
        <w:spacing w:after="0" w:line="312" w:lineRule="auto"/>
        <w:ind w:hanging="1224"/>
        <w:jc w:val="both"/>
        <w:rPr>
          <w:rFonts w:ascii="Arial" w:hAnsi="Arial" w:cs="Arial"/>
          <w:b/>
          <w:bCs/>
          <w:caps/>
          <w:sz w:val="24"/>
          <w:szCs w:val="24"/>
        </w:rPr>
      </w:pPr>
      <w:r w:rsidRPr="00F101A0">
        <w:rPr>
          <w:rFonts w:ascii="Arial" w:hAnsi="Arial" w:cs="Arial"/>
          <w:b/>
          <w:bCs/>
          <w:caps/>
          <w:sz w:val="24"/>
          <w:szCs w:val="24"/>
        </w:rPr>
        <w:tab/>
        <w:t xml:space="preserve">Appendix </w:t>
      </w:r>
      <w:r w:rsidR="00BE25DA" w:rsidRPr="00F101A0">
        <w:rPr>
          <w:rFonts w:ascii="Arial" w:hAnsi="Arial" w:cs="Arial"/>
          <w:b/>
          <w:bCs/>
          <w:caps/>
          <w:sz w:val="24"/>
          <w:szCs w:val="24"/>
        </w:rPr>
        <w:t>I</w:t>
      </w:r>
    </w:p>
    <w:p w14:paraId="5B25DBF1" w14:textId="2A76415C" w:rsidR="00DE245F" w:rsidRPr="00F101A0" w:rsidRDefault="00EE70A3" w:rsidP="00F101A0">
      <w:pPr>
        <w:pStyle w:val="ListParagraph"/>
        <w:numPr>
          <w:ilvl w:val="0"/>
          <w:numId w:val="28"/>
        </w:numPr>
        <w:tabs>
          <w:tab w:val="left" w:pos="851"/>
        </w:tabs>
        <w:spacing w:before="240" w:after="0" w:line="312" w:lineRule="auto"/>
        <w:jc w:val="both"/>
        <w:rPr>
          <w:rFonts w:ascii="Arial" w:hAnsi="Arial" w:cs="Arial"/>
          <w:sz w:val="24"/>
          <w:szCs w:val="24"/>
        </w:rPr>
      </w:pPr>
      <w:r w:rsidRPr="00F101A0">
        <w:rPr>
          <w:rFonts w:ascii="Arial" w:hAnsi="Arial" w:cs="Arial"/>
          <w:sz w:val="24"/>
          <w:szCs w:val="24"/>
        </w:rPr>
        <w:t xml:space="preserve">Preamble </w:t>
      </w:r>
      <w:r w:rsidR="00C7649C" w:rsidRPr="00F101A0">
        <w:rPr>
          <w:rFonts w:ascii="Arial" w:hAnsi="Arial" w:cs="Arial"/>
          <w:sz w:val="24"/>
          <w:szCs w:val="24"/>
        </w:rPr>
        <w:t>–</w:t>
      </w:r>
      <w:r w:rsidR="00B321B7" w:rsidRPr="00F101A0">
        <w:rPr>
          <w:rFonts w:ascii="Arial" w:hAnsi="Arial" w:cs="Arial"/>
          <w:sz w:val="24"/>
          <w:szCs w:val="24"/>
        </w:rPr>
        <w:t>T</w:t>
      </w:r>
      <w:r w:rsidR="00C7649C" w:rsidRPr="00F101A0">
        <w:rPr>
          <w:rFonts w:ascii="Arial" w:hAnsi="Arial" w:cs="Arial"/>
          <w:sz w:val="24"/>
          <w:szCs w:val="24"/>
        </w:rPr>
        <w:t>he meeting considered amendments introduce</w:t>
      </w:r>
      <w:r w:rsidR="00B321B7" w:rsidRPr="00F101A0">
        <w:rPr>
          <w:rFonts w:ascii="Arial" w:hAnsi="Arial" w:cs="Arial"/>
          <w:sz w:val="24"/>
          <w:szCs w:val="24"/>
        </w:rPr>
        <w:t>d</w:t>
      </w:r>
      <w:r w:rsidR="00C7649C" w:rsidRPr="00F101A0">
        <w:rPr>
          <w:rFonts w:ascii="Arial" w:hAnsi="Arial" w:cs="Arial"/>
          <w:sz w:val="24"/>
          <w:szCs w:val="24"/>
        </w:rPr>
        <w:t xml:space="preserve"> by the Secretariat </w:t>
      </w:r>
      <w:r w:rsidR="00FB1D92" w:rsidRPr="00F101A0">
        <w:rPr>
          <w:rFonts w:ascii="Arial" w:hAnsi="Arial" w:cs="Arial"/>
          <w:sz w:val="24"/>
          <w:szCs w:val="24"/>
        </w:rPr>
        <w:t>to incorporat</w:t>
      </w:r>
      <w:r w:rsidR="00B321B7" w:rsidRPr="00F101A0">
        <w:rPr>
          <w:rFonts w:ascii="Arial" w:hAnsi="Arial" w:cs="Arial"/>
          <w:sz w:val="24"/>
          <w:szCs w:val="24"/>
        </w:rPr>
        <w:t>e</w:t>
      </w:r>
      <w:r w:rsidR="00FB1D92" w:rsidRPr="00F101A0">
        <w:rPr>
          <w:rFonts w:ascii="Arial" w:hAnsi="Arial" w:cs="Arial"/>
          <w:sz w:val="24"/>
          <w:szCs w:val="24"/>
        </w:rPr>
        <w:t xml:space="preserve"> input</w:t>
      </w:r>
      <w:r w:rsidR="00B321B7" w:rsidRPr="00F101A0">
        <w:rPr>
          <w:rFonts w:ascii="Arial" w:hAnsi="Arial" w:cs="Arial"/>
          <w:sz w:val="24"/>
          <w:szCs w:val="24"/>
        </w:rPr>
        <w:t>s</w:t>
      </w:r>
      <w:r w:rsidR="00FB1D92" w:rsidRPr="00F101A0">
        <w:rPr>
          <w:rFonts w:ascii="Arial" w:hAnsi="Arial" w:cs="Arial"/>
          <w:sz w:val="24"/>
          <w:szCs w:val="24"/>
        </w:rPr>
        <w:t xml:space="preserve"> from</w:t>
      </w:r>
      <w:r w:rsidR="00DE245F" w:rsidRPr="00F101A0">
        <w:rPr>
          <w:rFonts w:ascii="Arial" w:hAnsi="Arial" w:cs="Arial"/>
          <w:sz w:val="24"/>
          <w:szCs w:val="24"/>
        </w:rPr>
        <w:t xml:space="preserve"> the </w:t>
      </w:r>
      <w:r w:rsidR="00E52D62" w:rsidRPr="00F101A0">
        <w:rPr>
          <w:rFonts w:ascii="Arial" w:hAnsi="Arial" w:cs="Arial"/>
          <w:sz w:val="24"/>
          <w:szCs w:val="24"/>
        </w:rPr>
        <w:t xml:space="preserve">first </w:t>
      </w:r>
      <w:r w:rsidR="00B321B7" w:rsidRPr="00F101A0">
        <w:rPr>
          <w:rFonts w:ascii="Arial" w:hAnsi="Arial" w:cs="Arial"/>
          <w:sz w:val="24"/>
          <w:szCs w:val="24"/>
        </w:rPr>
        <w:t xml:space="preserve">dedicated </w:t>
      </w:r>
      <w:r w:rsidR="00E52D62" w:rsidRPr="00F101A0">
        <w:rPr>
          <w:rFonts w:ascii="Arial" w:hAnsi="Arial" w:cs="Arial"/>
          <w:sz w:val="24"/>
          <w:szCs w:val="24"/>
        </w:rPr>
        <w:t>session</w:t>
      </w:r>
      <w:r w:rsidR="00DE245F" w:rsidRPr="00F101A0">
        <w:rPr>
          <w:rFonts w:ascii="Arial" w:hAnsi="Arial" w:cs="Arial"/>
          <w:sz w:val="24"/>
          <w:szCs w:val="24"/>
        </w:rPr>
        <w:t>. Member States could not discuss the</w:t>
      </w:r>
      <w:r w:rsidR="004A2BC8" w:rsidRPr="00F101A0">
        <w:rPr>
          <w:rFonts w:ascii="Arial" w:hAnsi="Arial" w:cs="Arial"/>
          <w:sz w:val="24"/>
          <w:szCs w:val="24"/>
        </w:rPr>
        <w:t xml:space="preserve"> </w:t>
      </w:r>
      <w:r w:rsidR="00403022" w:rsidRPr="00F101A0">
        <w:rPr>
          <w:rFonts w:ascii="Arial" w:hAnsi="Arial" w:cs="Arial"/>
          <w:sz w:val="24"/>
          <w:szCs w:val="24"/>
        </w:rPr>
        <w:t xml:space="preserve">entire </w:t>
      </w:r>
      <w:r w:rsidR="004A2BC8" w:rsidRPr="00F101A0">
        <w:rPr>
          <w:rFonts w:ascii="Arial" w:hAnsi="Arial" w:cs="Arial"/>
          <w:sz w:val="24"/>
          <w:szCs w:val="24"/>
        </w:rPr>
        <w:t xml:space="preserve">section and agreed to </w:t>
      </w:r>
      <w:r w:rsidR="00E52D62" w:rsidRPr="00F101A0">
        <w:rPr>
          <w:rFonts w:ascii="Arial" w:hAnsi="Arial" w:cs="Arial"/>
          <w:sz w:val="24"/>
          <w:szCs w:val="24"/>
        </w:rPr>
        <w:t xml:space="preserve">defer discussion </w:t>
      </w:r>
      <w:r w:rsidR="004A2BC8" w:rsidRPr="00F101A0">
        <w:rPr>
          <w:rFonts w:ascii="Arial" w:hAnsi="Arial" w:cs="Arial"/>
          <w:sz w:val="24"/>
          <w:szCs w:val="24"/>
        </w:rPr>
        <w:t>to the next TNF-Services meeting.</w:t>
      </w:r>
    </w:p>
    <w:p w14:paraId="562ADAC9" w14:textId="207FB33F" w:rsidR="00DE245F" w:rsidRPr="00F101A0" w:rsidRDefault="00DE245F" w:rsidP="00F101A0">
      <w:pPr>
        <w:pStyle w:val="ListParagraph"/>
        <w:numPr>
          <w:ilvl w:val="0"/>
          <w:numId w:val="28"/>
        </w:numPr>
        <w:shd w:val="clear" w:color="auto" w:fill="D9D9D9" w:themeFill="background1" w:themeFillShade="D9"/>
        <w:tabs>
          <w:tab w:val="left" w:pos="851"/>
        </w:tabs>
        <w:spacing w:before="240" w:after="0" w:line="312" w:lineRule="auto"/>
        <w:jc w:val="both"/>
        <w:rPr>
          <w:rFonts w:ascii="Arial" w:hAnsi="Arial" w:cs="Arial"/>
          <w:sz w:val="24"/>
          <w:szCs w:val="24"/>
          <w:u w:val="single"/>
        </w:rPr>
      </w:pPr>
      <w:r w:rsidRPr="00F101A0">
        <w:rPr>
          <w:rFonts w:ascii="Arial" w:hAnsi="Arial" w:cs="Arial"/>
          <w:sz w:val="24"/>
          <w:szCs w:val="24"/>
          <w:u w:val="single"/>
        </w:rPr>
        <w:t>Conclusions</w:t>
      </w:r>
      <w:r w:rsidR="004A2BC8" w:rsidRPr="00F101A0">
        <w:rPr>
          <w:rFonts w:ascii="Arial" w:hAnsi="Arial" w:cs="Arial"/>
          <w:sz w:val="24"/>
          <w:szCs w:val="24"/>
          <w:u w:val="single"/>
        </w:rPr>
        <w:t xml:space="preserve"> 1</w:t>
      </w:r>
      <w:r w:rsidR="003C2591" w:rsidRPr="00F101A0">
        <w:rPr>
          <w:rFonts w:ascii="Arial" w:hAnsi="Arial" w:cs="Arial"/>
          <w:sz w:val="24"/>
          <w:szCs w:val="24"/>
          <w:u w:val="single"/>
        </w:rPr>
        <w:t>2</w:t>
      </w:r>
      <w:r w:rsidR="004A2BC8" w:rsidRPr="00F101A0">
        <w:rPr>
          <w:rFonts w:ascii="Arial" w:hAnsi="Arial" w:cs="Arial"/>
          <w:sz w:val="24"/>
          <w:szCs w:val="24"/>
          <w:u w:val="single"/>
        </w:rPr>
        <w:t xml:space="preserve">: </w:t>
      </w:r>
      <w:r w:rsidR="00630B05">
        <w:rPr>
          <w:rFonts w:ascii="Arial" w:hAnsi="Arial" w:cs="Arial"/>
          <w:sz w:val="24"/>
          <w:szCs w:val="24"/>
          <w:u w:val="single"/>
        </w:rPr>
        <w:t>Appendix</w:t>
      </w:r>
    </w:p>
    <w:p w14:paraId="1715EE99" w14:textId="4C714EA8" w:rsidR="00DE245F" w:rsidRPr="00F101A0" w:rsidRDefault="00DE245F" w:rsidP="00F101A0">
      <w:pPr>
        <w:shd w:val="clear" w:color="auto" w:fill="D9D9D9" w:themeFill="background1" w:themeFillShade="D9"/>
        <w:spacing w:before="240" w:after="0" w:line="312" w:lineRule="auto"/>
        <w:ind w:left="1620"/>
        <w:jc w:val="both"/>
        <w:rPr>
          <w:rFonts w:ascii="Arial" w:hAnsi="Arial" w:cs="Arial"/>
          <w:sz w:val="24"/>
          <w:szCs w:val="24"/>
        </w:rPr>
      </w:pPr>
      <w:r w:rsidRPr="00F101A0">
        <w:rPr>
          <w:rFonts w:ascii="Arial" w:hAnsi="Arial" w:cs="Arial"/>
          <w:sz w:val="24"/>
          <w:szCs w:val="24"/>
        </w:rPr>
        <w:t>Mem</w:t>
      </w:r>
      <w:r w:rsidR="004A2BC8" w:rsidRPr="00F101A0">
        <w:rPr>
          <w:rFonts w:ascii="Arial" w:hAnsi="Arial" w:cs="Arial"/>
          <w:sz w:val="24"/>
          <w:szCs w:val="24"/>
        </w:rPr>
        <w:t xml:space="preserve">ber States </w:t>
      </w:r>
      <w:r w:rsidR="00B321B7" w:rsidRPr="00F101A0">
        <w:rPr>
          <w:rFonts w:ascii="Arial" w:hAnsi="Arial" w:cs="Arial"/>
          <w:sz w:val="24"/>
          <w:szCs w:val="24"/>
        </w:rPr>
        <w:t xml:space="preserve">to </w:t>
      </w:r>
      <w:r w:rsidR="005246A2" w:rsidRPr="00F101A0">
        <w:rPr>
          <w:rFonts w:ascii="Arial" w:hAnsi="Arial" w:cs="Arial"/>
          <w:sz w:val="24"/>
          <w:szCs w:val="24"/>
        </w:rPr>
        <w:t xml:space="preserve">consider </w:t>
      </w:r>
      <w:r w:rsidR="00AF235D" w:rsidRPr="00F101A0">
        <w:rPr>
          <w:rFonts w:ascii="Arial" w:hAnsi="Arial" w:cs="Arial"/>
          <w:sz w:val="24"/>
          <w:szCs w:val="24"/>
        </w:rPr>
        <w:t>Appendix</w:t>
      </w:r>
      <w:r w:rsidR="005246A2" w:rsidRPr="00F101A0">
        <w:rPr>
          <w:rFonts w:ascii="Arial" w:hAnsi="Arial" w:cs="Arial"/>
          <w:sz w:val="24"/>
          <w:szCs w:val="24"/>
        </w:rPr>
        <w:t xml:space="preserve"> I</w:t>
      </w:r>
      <w:r w:rsidR="004A2BC8" w:rsidRPr="00F101A0">
        <w:rPr>
          <w:rFonts w:ascii="Arial" w:hAnsi="Arial" w:cs="Arial"/>
          <w:sz w:val="24"/>
          <w:szCs w:val="24"/>
        </w:rPr>
        <w:t xml:space="preserve"> during the next TNF-Services meeting.</w:t>
      </w:r>
    </w:p>
    <w:p w14:paraId="43655F9F" w14:textId="77777777" w:rsidR="00602E8E" w:rsidRPr="00F101A0" w:rsidRDefault="00602E8E" w:rsidP="00F30803">
      <w:pPr>
        <w:tabs>
          <w:tab w:val="left" w:pos="1170"/>
        </w:tabs>
        <w:spacing w:after="0" w:line="312" w:lineRule="auto"/>
        <w:rPr>
          <w:rFonts w:ascii="Arial" w:hAnsi="Arial" w:cs="Arial"/>
          <w:sz w:val="24"/>
          <w:szCs w:val="24"/>
        </w:rPr>
      </w:pPr>
    </w:p>
    <w:p w14:paraId="2CA478E0" w14:textId="00356169" w:rsidR="00AE33EB" w:rsidRPr="00F101A0" w:rsidRDefault="00AE33EB" w:rsidP="000953A4">
      <w:pPr>
        <w:pStyle w:val="ListParagraph"/>
        <w:numPr>
          <w:ilvl w:val="0"/>
          <w:numId w:val="1"/>
        </w:numPr>
        <w:tabs>
          <w:tab w:val="left" w:pos="851"/>
        </w:tabs>
        <w:spacing w:after="0" w:line="312" w:lineRule="auto"/>
        <w:ind w:left="851" w:hanging="851"/>
        <w:rPr>
          <w:rFonts w:ascii="Arial" w:hAnsi="Arial" w:cs="Arial"/>
          <w:b/>
          <w:bCs/>
          <w:sz w:val="24"/>
          <w:szCs w:val="24"/>
        </w:rPr>
      </w:pPr>
      <w:r w:rsidRPr="00F101A0">
        <w:rPr>
          <w:rFonts w:ascii="Arial" w:hAnsi="Arial" w:cs="Arial"/>
          <w:b/>
          <w:bCs/>
          <w:sz w:val="24"/>
          <w:szCs w:val="24"/>
        </w:rPr>
        <w:t xml:space="preserve">WAY FORWARD AND NEXT MEETING </w:t>
      </w:r>
    </w:p>
    <w:p w14:paraId="277E18C2" w14:textId="5A3DE7F9" w:rsidR="00013B6B" w:rsidRPr="00F101A0" w:rsidRDefault="00AE33EB" w:rsidP="00F101A0">
      <w:pPr>
        <w:pStyle w:val="ListParagraph"/>
        <w:numPr>
          <w:ilvl w:val="1"/>
          <w:numId w:val="1"/>
        </w:numPr>
        <w:spacing w:before="240" w:after="0" w:line="312" w:lineRule="auto"/>
        <w:ind w:left="851" w:hanging="851"/>
        <w:jc w:val="both"/>
        <w:rPr>
          <w:rFonts w:ascii="Arial" w:hAnsi="Arial" w:cs="Arial"/>
          <w:sz w:val="24"/>
          <w:szCs w:val="24"/>
        </w:rPr>
      </w:pPr>
      <w:r w:rsidRPr="00F101A0">
        <w:rPr>
          <w:rFonts w:ascii="Arial" w:hAnsi="Arial" w:cs="Arial"/>
          <w:sz w:val="24"/>
          <w:szCs w:val="24"/>
        </w:rPr>
        <w:t xml:space="preserve">Given </w:t>
      </w:r>
      <w:r w:rsidR="00B321B7" w:rsidRPr="00F101A0">
        <w:rPr>
          <w:rFonts w:ascii="Arial" w:hAnsi="Arial" w:cs="Arial"/>
          <w:sz w:val="24"/>
          <w:szCs w:val="24"/>
        </w:rPr>
        <w:t>the lack of</w:t>
      </w:r>
      <w:r w:rsidRPr="00F101A0">
        <w:rPr>
          <w:rFonts w:ascii="Arial" w:hAnsi="Arial" w:cs="Arial"/>
          <w:sz w:val="24"/>
          <w:szCs w:val="24"/>
        </w:rPr>
        <w:t xml:space="preserve"> a quorum, Member States were advised that the Secretariat would prepare and circulate to all Member States a </w:t>
      </w:r>
      <w:r w:rsidR="00B321B7" w:rsidRPr="00F101A0">
        <w:rPr>
          <w:rFonts w:ascii="Arial" w:hAnsi="Arial" w:cs="Arial"/>
          <w:sz w:val="24"/>
          <w:szCs w:val="24"/>
        </w:rPr>
        <w:t>r</w:t>
      </w:r>
      <w:r w:rsidRPr="00F101A0">
        <w:rPr>
          <w:rFonts w:ascii="Arial" w:hAnsi="Arial" w:cs="Arial"/>
          <w:sz w:val="24"/>
          <w:szCs w:val="24"/>
        </w:rPr>
        <w:t xml:space="preserve">eport of the </w:t>
      </w:r>
      <w:r w:rsidR="00185529" w:rsidRPr="00F101A0">
        <w:rPr>
          <w:rFonts w:ascii="Arial" w:hAnsi="Arial" w:cs="Arial"/>
          <w:sz w:val="24"/>
          <w:szCs w:val="24"/>
        </w:rPr>
        <w:t>discussions and conclusions</w:t>
      </w:r>
      <w:r w:rsidRPr="00F101A0">
        <w:rPr>
          <w:rFonts w:ascii="Arial" w:hAnsi="Arial" w:cs="Arial"/>
          <w:sz w:val="24"/>
          <w:szCs w:val="24"/>
        </w:rPr>
        <w:t xml:space="preserve">, together with </w:t>
      </w:r>
      <w:r w:rsidR="00B321B7" w:rsidRPr="00F101A0">
        <w:rPr>
          <w:rFonts w:ascii="Arial" w:hAnsi="Arial" w:cs="Arial"/>
          <w:sz w:val="24"/>
          <w:szCs w:val="24"/>
        </w:rPr>
        <w:t xml:space="preserve">a version of </w:t>
      </w:r>
      <w:r w:rsidRPr="00F101A0">
        <w:rPr>
          <w:rFonts w:ascii="Arial" w:hAnsi="Arial" w:cs="Arial"/>
          <w:sz w:val="24"/>
          <w:szCs w:val="24"/>
        </w:rPr>
        <w:t xml:space="preserve">the draft </w:t>
      </w:r>
      <w:r w:rsidR="00B37C29" w:rsidRPr="00F101A0">
        <w:rPr>
          <w:rFonts w:ascii="Arial" w:hAnsi="Arial" w:cs="Arial"/>
          <w:sz w:val="24"/>
          <w:szCs w:val="24"/>
        </w:rPr>
        <w:t xml:space="preserve">Guidelines </w:t>
      </w:r>
      <w:r w:rsidRPr="00F101A0">
        <w:rPr>
          <w:rFonts w:ascii="Arial" w:hAnsi="Arial" w:cs="Arial"/>
          <w:sz w:val="24"/>
          <w:szCs w:val="24"/>
        </w:rPr>
        <w:t>containing annotations of Member States’ comments</w:t>
      </w:r>
      <w:r w:rsidR="00A54CD3" w:rsidRPr="00F101A0">
        <w:rPr>
          <w:rFonts w:ascii="Arial" w:hAnsi="Arial" w:cs="Arial"/>
          <w:sz w:val="24"/>
          <w:szCs w:val="24"/>
        </w:rPr>
        <w:t>,</w:t>
      </w:r>
      <w:r w:rsidR="00755119" w:rsidRPr="00F101A0">
        <w:rPr>
          <w:rFonts w:ascii="Arial" w:hAnsi="Arial" w:cs="Arial"/>
          <w:sz w:val="24"/>
          <w:szCs w:val="24"/>
        </w:rPr>
        <w:t xml:space="preserve"> now</w:t>
      </w:r>
      <w:r w:rsidR="00A54CD3" w:rsidRPr="00F101A0">
        <w:rPr>
          <w:rFonts w:ascii="Arial" w:hAnsi="Arial" w:cs="Arial"/>
          <w:sz w:val="24"/>
          <w:szCs w:val="24"/>
        </w:rPr>
        <w:t xml:space="preserve"> as document</w:t>
      </w:r>
      <w:r w:rsidR="00755119" w:rsidRPr="00F101A0">
        <w:rPr>
          <w:rFonts w:ascii="Arial" w:hAnsi="Arial" w:cs="Arial"/>
          <w:sz w:val="24"/>
          <w:szCs w:val="24"/>
        </w:rPr>
        <w:t xml:space="preserve"> </w:t>
      </w:r>
      <w:r w:rsidR="00755119" w:rsidRPr="00F101A0">
        <w:rPr>
          <w:rFonts w:ascii="Arial" w:hAnsi="Arial" w:cs="Arial"/>
          <w:b/>
          <w:bCs/>
          <w:sz w:val="24"/>
          <w:szCs w:val="24"/>
        </w:rPr>
        <w:t>SADC/TNF-Serv./45/2023/04/Rev3</w:t>
      </w:r>
      <w:r w:rsidR="00B321B7" w:rsidRPr="00F101A0">
        <w:rPr>
          <w:rFonts w:ascii="Arial" w:hAnsi="Arial" w:cs="Arial"/>
          <w:sz w:val="24"/>
          <w:szCs w:val="24"/>
        </w:rPr>
        <w:t>, to guide national and regional consultations.</w:t>
      </w:r>
      <w:r w:rsidR="00013B6B" w:rsidRPr="00F101A0">
        <w:rPr>
          <w:rFonts w:ascii="Arial" w:hAnsi="Arial" w:cs="Arial"/>
          <w:sz w:val="24"/>
          <w:szCs w:val="24"/>
        </w:rPr>
        <w:t xml:space="preserve"> </w:t>
      </w:r>
    </w:p>
    <w:p w14:paraId="53A44EFF" w14:textId="7583F0A8" w:rsidR="007E5910" w:rsidRPr="00F101A0" w:rsidRDefault="0027050D" w:rsidP="00F8695E">
      <w:pPr>
        <w:pStyle w:val="ListParagraph"/>
        <w:numPr>
          <w:ilvl w:val="1"/>
          <w:numId w:val="1"/>
        </w:numPr>
        <w:spacing w:before="240" w:after="0" w:line="312" w:lineRule="auto"/>
        <w:ind w:left="851" w:hanging="851"/>
        <w:jc w:val="both"/>
        <w:rPr>
          <w:rFonts w:ascii="Arial" w:hAnsi="Arial" w:cs="Arial"/>
          <w:sz w:val="24"/>
          <w:szCs w:val="24"/>
        </w:rPr>
      </w:pPr>
      <w:r w:rsidRPr="00F101A0">
        <w:rPr>
          <w:rFonts w:ascii="Arial" w:hAnsi="Arial" w:cs="Arial"/>
          <w:sz w:val="24"/>
          <w:szCs w:val="24"/>
        </w:rPr>
        <w:t xml:space="preserve">The meeting noted that it was not feasible to finalise the draft Guidelines for submission to </w:t>
      </w:r>
      <w:r w:rsidR="00CA3C21" w:rsidRPr="00F101A0">
        <w:rPr>
          <w:rFonts w:ascii="Arial" w:hAnsi="Arial" w:cs="Arial"/>
          <w:sz w:val="24"/>
          <w:szCs w:val="24"/>
        </w:rPr>
        <w:t xml:space="preserve">CMT in June/July 2023. </w:t>
      </w:r>
      <w:r w:rsidR="00B321B7" w:rsidRPr="00F101A0">
        <w:rPr>
          <w:rFonts w:ascii="Arial" w:hAnsi="Arial" w:cs="Arial"/>
          <w:sz w:val="24"/>
          <w:szCs w:val="24"/>
        </w:rPr>
        <w:t>It</w:t>
      </w:r>
      <w:r w:rsidR="00CA3C21" w:rsidRPr="00F101A0">
        <w:rPr>
          <w:rFonts w:ascii="Arial" w:hAnsi="Arial" w:cs="Arial"/>
          <w:sz w:val="24"/>
          <w:szCs w:val="24"/>
        </w:rPr>
        <w:t xml:space="preserve"> was</w:t>
      </w:r>
      <w:r w:rsidR="00013B6B" w:rsidRPr="00F101A0">
        <w:rPr>
          <w:rFonts w:ascii="Arial" w:hAnsi="Arial" w:cs="Arial"/>
          <w:sz w:val="24"/>
          <w:szCs w:val="24"/>
        </w:rPr>
        <w:t xml:space="preserve"> </w:t>
      </w:r>
      <w:r w:rsidR="00B321B7" w:rsidRPr="00F101A0">
        <w:rPr>
          <w:rFonts w:ascii="Arial" w:hAnsi="Arial" w:cs="Arial"/>
          <w:sz w:val="24"/>
          <w:szCs w:val="24"/>
        </w:rPr>
        <w:t xml:space="preserve">therefore </w:t>
      </w:r>
      <w:r w:rsidR="00013B6B" w:rsidRPr="00F101A0">
        <w:rPr>
          <w:rFonts w:ascii="Arial" w:hAnsi="Arial" w:cs="Arial"/>
          <w:sz w:val="24"/>
          <w:szCs w:val="24"/>
        </w:rPr>
        <w:t xml:space="preserve">agreed to </w:t>
      </w:r>
      <w:r w:rsidR="00B321B7" w:rsidRPr="00F101A0">
        <w:rPr>
          <w:rFonts w:ascii="Arial" w:hAnsi="Arial" w:cs="Arial"/>
          <w:sz w:val="24"/>
          <w:szCs w:val="24"/>
        </w:rPr>
        <w:t xml:space="preserve">continue </w:t>
      </w:r>
      <w:r w:rsidR="00CA3C21" w:rsidRPr="00F101A0">
        <w:rPr>
          <w:rFonts w:ascii="Arial" w:hAnsi="Arial" w:cs="Arial"/>
          <w:sz w:val="24"/>
          <w:szCs w:val="24"/>
        </w:rPr>
        <w:t>negotiations</w:t>
      </w:r>
      <w:r w:rsidR="00013B6B" w:rsidRPr="00F101A0">
        <w:rPr>
          <w:rFonts w:ascii="Arial" w:hAnsi="Arial" w:cs="Arial"/>
          <w:sz w:val="24"/>
          <w:szCs w:val="24"/>
        </w:rPr>
        <w:t xml:space="preserve"> on </w:t>
      </w:r>
      <w:r w:rsidR="00CA3C21" w:rsidRPr="00F101A0">
        <w:rPr>
          <w:rFonts w:ascii="Arial" w:hAnsi="Arial" w:cs="Arial"/>
          <w:sz w:val="24"/>
          <w:szCs w:val="24"/>
        </w:rPr>
        <w:t xml:space="preserve">the </w:t>
      </w:r>
      <w:r w:rsidR="00F65491" w:rsidRPr="00F101A0">
        <w:rPr>
          <w:rFonts w:ascii="Arial" w:hAnsi="Arial" w:cs="Arial"/>
          <w:sz w:val="24"/>
          <w:szCs w:val="24"/>
        </w:rPr>
        <w:t xml:space="preserve">draft </w:t>
      </w:r>
      <w:r w:rsidR="00CA3C21" w:rsidRPr="00F101A0">
        <w:rPr>
          <w:rFonts w:ascii="Arial" w:hAnsi="Arial" w:cs="Arial"/>
          <w:sz w:val="24"/>
          <w:szCs w:val="24"/>
        </w:rPr>
        <w:t>G</w:t>
      </w:r>
      <w:r w:rsidR="00013B6B" w:rsidRPr="00F101A0">
        <w:rPr>
          <w:rFonts w:ascii="Arial" w:hAnsi="Arial" w:cs="Arial"/>
          <w:sz w:val="24"/>
          <w:szCs w:val="24"/>
        </w:rPr>
        <w:t>uidelines at the next meeting of the TNF-Services</w:t>
      </w:r>
      <w:r w:rsidR="00F65491" w:rsidRPr="00F101A0">
        <w:rPr>
          <w:rFonts w:ascii="Arial" w:hAnsi="Arial" w:cs="Arial"/>
          <w:sz w:val="24"/>
          <w:szCs w:val="24"/>
        </w:rPr>
        <w:t xml:space="preserve"> planned for September 2023</w:t>
      </w:r>
      <w:r w:rsidR="008D71D0" w:rsidRPr="00F101A0">
        <w:rPr>
          <w:rFonts w:ascii="Arial" w:hAnsi="Arial" w:cs="Arial"/>
          <w:sz w:val="24"/>
          <w:szCs w:val="24"/>
        </w:rPr>
        <w:t xml:space="preserve"> at </w:t>
      </w:r>
      <w:r w:rsidR="00B321B7" w:rsidRPr="00F101A0">
        <w:rPr>
          <w:rFonts w:ascii="Arial" w:hAnsi="Arial" w:cs="Arial"/>
          <w:sz w:val="24"/>
          <w:szCs w:val="24"/>
        </w:rPr>
        <w:t xml:space="preserve">a </w:t>
      </w:r>
      <w:r w:rsidR="008D71D0" w:rsidRPr="00F101A0">
        <w:rPr>
          <w:rFonts w:ascii="Arial" w:hAnsi="Arial" w:cs="Arial"/>
          <w:sz w:val="24"/>
          <w:szCs w:val="24"/>
        </w:rPr>
        <w:t>date to be advised by the Secretariat.</w:t>
      </w:r>
      <w:r w:rsidR="009E5750" w:rsidRPr="00F101A0">
        <w:rPr>
          <w:rFonts w:ascii="Arial" w:hAnsi="Arial" w:cs="Arial"/>
          <w:sz w:val="24"/>
          <w:szCs w:val="24"/>
        </w:rPr>
        <w:t xml:space="preserve"> </w:t>
      </w:r>
    </w:p>
    <w:p w14:paraId="3F3B2A1E" w14:textId="42018C38" w:rsidR="007E5910" w:rsidRPr="00796870" w:rsidRDefault="001A7320" w:rsidP="007B7065">
      <w:pPr>
        <w:pStyle w:val="ListParagraph"/>
        <w:spacing w:after="0" w:line="312" w:lineRule="auto"/>
        <w:ind w:left="0"/>
        <w:jc w:val="center"/>
        <w:rPr>
          <w:rFonts w:ascii="Arial" w:hAnsi="Arial" w:cs="Arial"/>
          <w:sz w:val="24"/>
          <w:szCs w:val="24"/>
        </w:rPr>
      </w:pPr>
      <w:r w:rsidRPr="00F101A0">
        <w:rPr>
          <w:rFonts w:ascii="Arial" w:hAnsi="Arial" w:cs="Arial"/>
          <w:sz w:val="24"/>
          <w:szCs w:val="24"/>
        </w:rPr>
        <w:t>_______</w:t>
      </w:r>
    </w:p>
    <w:sectPr w:rsidR="007E5910" w:rsidRPr="00796870" w:rsidSect="00622F66">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A8A6" w14:textId="77777777" w:rsidR="004945E8" w:rsidRDefault="004945E8" w:rsidP="00200FC4">
      <w:pPr>
        <w:spacing w:after="0" w:line="240" w:lineRule="auto"/>
      </w:pPr>
      <w:r>
        <w:separator/>
      </w:r>
    </w:p>
  </w:endnote>
  <w:endnote w:type="continuationSeparator" w:id="0">
    <w:p w14:paraId="060D5DBB" w14:textId="77777777" w:rsidR="004945E8" w:rsidRDefault="004945E8" w:rsidP="0020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Book">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DD8" w14:textId="77777777" w:rsidR="002401B0" w:rsidRDefault="00240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00043120"/>
      <w:docPartObj>
        <w:docPartGallery w:val="Page Numbers (Bottom of Page)"/>
        <w:docPartUnique/>
      </w:docPartObj>
    </w:sdtPr>
    <w:sdtEndPr>
      <w:rPr>
        <w:noProof/>
      </w:rPr>
    </w:sdtEndPr>
    <w:sdtContent>
      <w:p w14:paraId="2A794805" w14:textId="77777777" w:rsidR="00200FC4" w:rsidRPr="00200FC4" w:rsidRDefault="00200FC4">
        <w:pPr>
          <w:pStyle w:val="Footer"/>
          <w:jc w:val="center"/>
          <w:rPr>
            <w:rFonts w:ascii="Arial" w:hAnsi="Arial" w:cs="Arial"/>
          </w:rPr>
        </w:pPr>
        <w:r w:rsidRPr="00200FC4">
          <w:rPr>
            <w:rFonts w:ascii="Arial" w:hAnsi="Arial" w:cs="Arial"/>
          </w:rPr>
          <w:fldChar w:fldCharType="begin"/>
        </w:r>
        <w:r w:rsidRPr="00200FC4">
          <w:rPr>
            <w:rFonts w:ascii="Arial" w:hAnsi="Arial" w:cs="Arial"/>
          </w:rPr>
          <w:instrText xml:space="preserve"> PAGE   \* MERGEFORMAT </w:instrText>
        </w:r>
        <w:r w:rsidRPr="00200FC4">
          <w:rPr>
            <w:rFonts w:ascii="Arial" w:hAnsi="Arial" w:cs="Arial"/>
          </w:rPr>
          <w:fldChar w:fldCharType="separate"/>
        </w:r>
        <w:r w:rsidRPr="00200FC4">
          <w:rPr>
            <w:rFonts w:ascii="Arial" w:hAnsi="Arial" w:cs="Arial"/>
            <w:noProof/>
          </w:rPr>
          <w:t>2</w:t>
        </w:r>
        <w:r w:rsidRPr="00200FC4">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951C" w14:textId="77777777" w:rsidR="002401B0" w:rsidRDefault="0024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A13A" w14:textId="77777777" w:rsidR="004945E8" w:rsidRDefault="004945E8" w:rsidP="00200FC4">
      <w:pPr>
        <w:spacing w:after="0" w:line="240" w:lineRule="auto"/>
      </w:pPr>
      <w:r>
        <w:separator/>
      </w:r>
    </w:p>
  </w:footnote>
  <w:footnote w:type="continuationSeparator" w:id="0">
    <w:p w14:paraId="6B351A9A" w14:textId="77777777" w:rsidR="004945E8" w:rsidRDefault="004945E8" w:rsidP="0020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A993" w14:textId="77777777" w:rsidR="002401B0" w:rsidRDefault="00240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FA3D" w14:textId="3DF6837D" w:rsidR="002401B0" w:rsidRDefault="002401B0" w:rsidP="002401B0">
    <w:pPr>
      <w:pStyle w:val="Header"/>
      <w:jc w:val="right"/>
    </w:pPr>
    <w:r w:rsidRPr="00F75ED9">
      <w:rPr>
        <w:rFonts w:ascii="Arial" w:hAnsi="Arial" w:cs="Arial"/>
        <w:b/>
        <w:color w:val="000000" w:themeColor="text1"/>
        <w:sz w:val="24"/>
        <w:szCs w:val="24"/>
        <w:shd w:val="clear" w:color="auto" w:fill="FFFFFF"/>
      </w:rPr>
      <w:t>SADC/TNF-Serv./45/2023/DS</w:t>
    </w:r>
    <w:r>
      <w:rPr>
        <w:rFonts w:ascii="Arial" w:hAnsi="Arial" w:cs="Arial"/>
        <w:b/>
        <w:color w:val="000000" w:themeColor="text1"/>
        <w:sz w:val="24"/>
        <w:szCs w:val="24"/>
        <w:shd w:val="clear" w:color="auto" w:fill="FFFFFF"/>
      </w:rPr>
      <w:t>-2</w:t>
    </w:r>
    <w:r w:rsidRPr="00F75ED9">
      <w:rPr>
        <w:rFonts w:ascii="Arial" w:hAnsi="Arial" w:cs="Arial"/>
        <w:b/>
        <w:color w:val="000000" w:themeColor="text1"/>
        <w:sz w:val="24"/>
        <w:szCs w:val="24"/>
        <w:shd w:val="clear" w:color="auto" w:fill="FFFFFF"/>
      </w:rPr>
      <w:t>/05/2023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C42B" w14:textId="77777777" w:rsidR="002401B0" w:rsidRDefault="0024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243"/>
    <w:multiLevelType w:val="hybridMultilevel"/>
    <w:tmpl w:val="EC74B8FA"/>
    <w:lvl w:ilvl="0" w:tplc="B0FE9D3C">
      <w:start w:val="9"/>
      <w:numFmt w:val="lowerLetter"/>
      <w:lvlText w:val="(%1)"/>
      <w:lvlJc w:val="left"/>
      <w:pPr>
        <w:ind w:left="1211" w:hanging="360"/>
      </w:pPr>
      <w:rPr>
        <w:rFonts w:hint="default"/>
      </w:rPr>
    </w:lvl>
    <w:lvl w:ilvl="1" w:tplc="69B4BF9E">
      <w:start w:val="1"/>
      <w:numFmt w:val="lowerLetter"/>
      <w:lvlText w:val="(%2)"/>
      <w:lvlJc w:val="left"/>
      <w:pPr>
        <w:ind w:left="1931" w:hanging="360"/>
      </w:pPr>
      <w:rPr>
        <w:rFonts w:ascii="Arial" w:eastAsia="Calibri" w:hAnsi="Arial" w:cs="Arial"/>
      </w:rPr>
    </w:lvl>
    <w:lvl w:ilvl="2" w:tplc="F8C8CEC8">
      <w:start w:val="1"/>
      <w:numFmt w:val="lowerLetter"/>
      <w:lvlText w:val="(%3)"/>
      <w:lvlJc w:val="left"/>
      <w:pPr>
        <w:ind w:left="2831" w:hanging="360"/>
      </w:pPr>
      <w:rPr>
        <w:rFonts w:hint="default"/>
      </w:r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 w15:restartNumberingAfterBreak="0">
    <w:nsid w:val="07E62CCA"/>
    <w:multiLevelType w:val="hybridMultilevel"/>
    <w:tmpl w:val="DD6CF8E0"/>
    <w:lvl w:ilvl="0" w:tplc="FB0C7DEA">
      <w:start w:val="1"/>
      <w:numFmt w:val="lowerRoman"/>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27F42"/>
    <w:multiLevelType w:val="hybridMultilevel"/>
    <w:tmpl w:val="FD46F702"/>
    <w:lvl w:ilvl="0" w:tplc="0464DF46">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D6C14A1"/>
    <w:multiLevelType w:val="hybridMultilevel"/>
    <w:tmpl w:val="71900E6C"/>
    <w:lvl w:ilvl="0" w:tplc="2BBAC78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 w15:restartNumberingAfterBreak="0">
    <w:nsid w:val="129518A5"/>
    <w:multiLevelType w:val="hybridMultilevel"/>
    <w:tmpl w:val="3C00250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17F3689D"/>
    <w:multiLevelType w:val="hybridMultilevel"/>
    <w:tmpl w:val="3A94A3BE"/>
    <w:lvl w:ilvl="0" w:tplc="0B809FD4">
      <w:start w:val="1"/>
      <w:numFmt w:val="lowerRoman"/>
      <w:lvlText w:val="%1."/>
      <w:lvlJc w:val="righ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18053626"/>
    <w:multiLevelType w:val="hybridMultilevel"/>
    <w:tmpl w:val="2256A8FE"/>
    <w:lvl w:ilvl="0" w:tplc="DC3C7C94">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80FD3"/>
    <w:multiLevelType w:val="hybridMultilevel"/>
    <w:tmpl w:val="DD6CF8E0"/>
    <w:lvl w:ilvl="0" w:tplc="FFFFFFFF">
      <w:start w:val="1"/>
      <w:numFmt w:val="lowerRoman"/>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E311F7"/>
    <w:multiLevelType w:val="hybridMultilevel"/>
    <w:tmpl w:val="D85A7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367CB"/>
    <w:multiLevelType w:val="hybridMultilevel"/>
    <w:tmpl w:val="C108D482"/>
    <w:lvl w:ilvl="0" w:tplc="DC3C7C94">
      <w:start w:val="2"/>
      <w:numFmt w:val="lowerRoman"/>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0" w15:restartNumberingAfterBreak="0">
    <w:nsid w:val="2A582620"/>
    <w:multiLevelType w:val="hybridMultilevel"/>
    <w:tmpl w:val="C388E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E06AA"/>
    <w:multiLevelType w:val="hybridMultilevel"/>
    <w:tmpl w:val="0A68AA4E"/>
    <w:lvl w:ilvl="0" w:tplc="FB0C7DEA">
      <w:start w:val="1"/>
      <w:numFmt w:val="lowerRoman"/>
      <w:lvlText w:val="(%1)"/>
      <w:lvlJc w:val="left"/>
      <w:pPr>
        <w:ind w:left="2422" w:hanging="360"/>
      </w:pPr>
      <w:rPr>
        <w:rFonts w:hint="default"/>
      </w:rPr>
    </w:lvl>
    <w:lvl w:ilvl="1" w:tplc="DC3C7C94">
      <w:start w:val="2"/>
      <w:numFmt w:val="lowerRoman"/>
      <w:lvlText w:val="(%2)"/>
      <w:lvlJc w:val="left"/>
      <w:pPr>
        <w:ind w:left="157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BFB7AD9"/>
    <w:multiLevelType w:val="hybridMultilevel"/>
    <w:tmpl w:val="546E9084"/>
    <w:lvl w:ilvl="0" w:tplc="80641D66">
      <w:start w:val="1"/>
      <w:numFmt w:val="lowerRoman"/>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65CE9"/>
    <w:multiLevelType w:val="hybridMultilevel"/>
    <w:tmpl w:val="398E5672"/>
    <w:lvl w:ilvl="0" w:tplc="16D2ED9C">
      <w:start w:val="1"/>
      <w:numFmt w:val="lowerRoman"/>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A46A6"/>
    <w:multiLevelType w:val="hybridMultilevel"/>
    <w:tmpl w:val="DED8C614"/>
    <w:lvl w:ilvl="0" w:tplc="EABCD7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58859B9"/>
    <w:multiLevelType w:val="hybridMultilevel"/>
    <w:tmpl w:val="AAC84258"/>
    <w:lvl w:ilvl="0" w:tplc="2A9E69D6">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 w15:restartNumberingAfterBreak="0">
    <w:nsid w:val="391F1964"/>
    <w:multiLevelType w:val="hybridMultilevel"/>
    <w:tmpl w:val="38C089E8"/>
    <w:lvl w:ilvl="0" w:tplc="FFFFFFFF">
      <w:start w:val="1"/>
      <w:numFmt w:val="lowerRoman"/>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D20F50"/>
    <w:multiLevelType w:val="hybridMultilevel"/>
    <w:tmpl w:val="910AAF0E"/>
    <w:lvl w:ilvl="0" w:tplc="04090017">
      <w:start w:val="1"/>
      <w:numFmt w:val="lowerLetter"/>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460910B5"/>
    <w:multiLevelType w:val="hybridMultilevel"/>
    <w:tmpl w:val="428E96F0"/>
    <w:lvl w:ilvl="0" w:tplc="DC3C7C94">
      <w:start w:val="2"/>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D021D9B"/>
    <w:multiLevelType w:val="hybridMultilevel"/>
    <w:tmpl w:val="9BA48D56"/>
    <w:lvl w:ilvl="0" w:tplc="DC3C7C94">
      <w:start w:val="2"/>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6000272E"/>
    <w:multiLevelType w:val="hybridMultilevel"/>
    <w:tmpl w:val="38C089E8"/>
    <w:lvl w:ilvl="0" w:tplc="606C8E3E">
      <w:start w:val="1"/>
      <w:numFmt w:val="lowerRoman"/>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B16BD"/>
    <w:multiLevelType w:val="hybridMultilevel"/>
    <w:tmpl w:val="9ED4B292"/>
    <w:lvl w:ilvl="0" w:tplc="FFFFFFFF">
      <w:start w:val="2"/>
      <w:numFmt w:val="lowerRoman"/>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722D7C79"/>
    <w:multiLevelType w:val="hybridMultilevel"/>
    <w:tmpl w:val="F9BE8634"/>
    <w:lvl w:ilvl="0" w:tplc="270076C6">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3" w15:restartNumberingAfterBreak="0">
    <w:nsid w:val="73623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F368EB"/>
    <w:multiLevelType w:val="hybridMultilevel"/>
    <w:tmpl w:val="89FC0912"/>
    <w:lvl w:ilvl="0" w:tplc="B3C4EFEA">
      <w:start w:val="1"/>
      <w:numFmt w:val="lowerRoman"/>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7223C"/>
    <w:multiLevelType w:val="hybridMultilevel"/>
    <w:tmpl w:val="44E8C5D2"/>
    <w:lvl w:ilvl="0" w:tplc="B762DF50">
      <w:start w:val="1"/>
      <w:numFmt w:val="lowerRoman"/>
      <w:lvlText w:val="(%1)"/>
      <w:lvlJc w:val="left"/>
      <w:pPr>
        <w:ind w:left="157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80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80065"/>
    <w:multiLevelType w:val="hybridMultilevel"/>
    <w:tmpl w:val="AE823082"/>
    <w:lvl w:ilvl="0" w:tplc="DC3C7C94">
      <w:start w:val="2"/>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7FC03E39"/>
    <w:multiLevelType w:val="hybridMultilevel"/>
    <w:tmpl w:val="470E32B8"/>
    <w:lvl w:ilvl="0" w:tplc="D5CC6F4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407268650">
    <w:abstractNumId w:val="26"/>
  </w:num>
  <w:num w:numId="2" w16cid:durableId="2052923382">
    <w:abstractNumId w:val="9"/>
  </w:num>
  <w:num w:numId="3" w16cid:durableId="1406296050">
    <w:abstractNumId w:val="3"/>
  </w:num>
  <w:num w:numId="4" w16cid:durableId="207843574">
    <w:abstractNumId w:val="0"/>
  </w:num>
  <w:num w:numId="5" w16cid:durableId="511380906">
    <w:abstractNumId w:val="19"/>
  </w:num>
  <w:num w:numId="6" w16cid:durableId="1984043109">
    <w:abstractNumId w:val="15"/>
  </w:num>
  <w:num w:numId="7" w16cid:durableId="1991396237">
    <w:abstractNumId w:val="22"/>
  </w:num>
  <w:num w:numId="8" w16cid:durableId="1913274400">
    <w:abstractNumId w:val="17"/>
  </w:num>
  <w:num w:numId="9" w16cid:durableId="1074081323">
    <w:abstractNumId w:val="20"/>
  </w:num>
  <w:num w:numId="10" w16cid:durableId="878397199">
    <w:abstractNumId w:val="18"/>
  </w:num>
  <w:num w:numId="11" w16cid:durableId="960378626">
    <w:abstractNumId w:val="16"/>
  </w:num>
  <w:num w:numId="12" w16cid:durableId="1580405967">
    <w:abstractNumId w:val="27"/>
  </w:num>
  <w:num w:numId="13" w16cid:durableId="139270302">
    <w:abstractNumId w:val="21"/>
  </w:num>
  <w:num w:numId="14" w16cid:durableId="1007099805">
    <w:abstractNumId w:val="24"/>
  </w:num>
  <w:num w:numId="15" w16cid:durableId="339897045">
    <w:abstractNumId w:val="13"/>
  </w:num>
  <w:num w:numId="16" w16cid:durableId="917403422">
    <w:abstractNumId w:val="4"/>
  </w:num>
  <w:num w:numId="17" w16cid:durableId="128210455">
    <w:abstractNumId w:val="14"/>
  </w:num>
  <w:num w:numId="18" w16cid:durableId="151027597">
    <w:abstractNumId w:val="8"/>
  </w:num>
  <w:num w:numId="19" w16cid:durableId="1884125102">
    <w:abstractNumId w:val="10"/>
  </w:num>
  <w:num w:numId="20" w16cid:durableId="270892998">
    <w:abstractNumId w:val="12"/>
  </w:num>
  <w:num w:numId="21" w16cid:durableId="928388346">
    <w:abstractNumId w:val="28"/>
  </w:num>
  <w:num w:numId="22" w16cid:durableId="51931727">
    <w:abstractNumId w:val="6"/>
  </w:num>
  <w:num w:numId="23" w16cid:durableId="1309824752">
    <w:abstractNumId w:val="25"/>
  </w:num>
  <w:num w:numId="24" w16cid:durableId="1370106501">
    <w:abstractNumId w:val="23"/>
  </w:num>
  <w:num w:numId="25" w16cid:durableId="2008944934">
    <w:abstractNumId w:val="1"/>
  </w:num>
  <w:num w:numId="26" w16cid:durableId="551423811">
    <w:abstractNumId w:val="11"/>
  </w:num>
  <w:num w:numId="27" w16cid:durableId="893276573">
    <w:abstractNumId w:val="7"/>
  </w:num>
  <w:num w:numId="28" w16cid:durableId="119737050">
    <w:abstractNumId w:val="2"/>
  </w:num>
  <w:num w:numId="29" w16cid:durableId="1995988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NDcxMrM0NDKwNDVV0lEKTi0uzszPAykwqgUAYDkEsywAAAA="/>
  </w:docVars>
  <w:rsids>
    <w:rsidRoot w:val="00741D16"/>
    <w:rsid w:val="00001F93"/>
    <w:rsid w:val="000043E6"/>
    <w:rsid w:val="00007564"/>
    <w:rsid w:val="00013B6B"/>
    <w:rsid w:val="0001574E"/>
    <w:rsid w:val="00021C96"/>
    <w:rsid w:val="000221A5"/>
    <w:rsid w:val="00022C81"/>
    <w:rsid w:val="00024342"/>
    <w:rsid w:val="00034D63"/>
    <w:rsid w:val="00035198"/>
    <w:rsid w:val="000354F1"/>
    <w:rsid w:val="00037D51"/>
    <w:rsid w:val="0004329D"/>
    <w:rsid w:val="00043AC4"/>
    <w:rsid w:val="00044D3D"/>
    <w:rsid w:val="000463CD"/>
    <w:rsid w:val="0004707D"/>
    <w:rsid w:val="00047647"/>
    <w:rsid w:val="0005293F"/>
    <w:rsid w:val="00053F01"/>
    <w:rsid w:val="0005450B"/>
    <w:rsid w:val="00055062"/>
    <w:rsid w:val="0005590F"/>
    <w:rsid w:val="00057327"/>
    <w:rsid w:val="00057A84"/>
    <w:rsid w:val="00057F20"/>
    <w:rsid w:val="00060DCD"/>
    <w:rsid w:val="000645D7"/>
    <w:rsid w:val="000676A2"/>
    <w:rsid w:val="0006778B"/>
    <w:rsid w:val="00070CA8"/>
    <w:rsid w:val="0007103A"/>
    <w:rsid w:val="000743A5"/>
    <w:rsid w:val="00075A45"/>
    <w:rsid w:val="00075AC5"/>
    <w:rsid w:val="00081E2F"/>
    <w:rsid w:val="00082299"/>
    <w:rsid w:val="0008232E"/>
    <w:rsid w:val="00084379"/>
    <w:rsid w:val="00085748"/>
    <w:rsid w:val="00086C17"/>
    <w:rsid w:val="00086FB4"/>
    <w:rsid w:val="00090F4D"/>
    <w:rsid w:val="00093465"/>
    <w:rsid w:val="000953A4"/>
    <w:rsid w:val="00096807"/>
    <w:rsid w:val="00096F8C"/>
    <w:rsid w:val="000A1B4B"/>
    <w:rsid w:val="000A408E"/>
    <w:rsid w:val="000A40BC"/>
    <w:rsid w:val="000A717C"/>
    <w:rsid w:val="000A7B6E"/>
    <w:rsid w:val="000B0C78"/>
    <w:rsid w:val="000B3D15"/>
    <w:rsid w:val="000B4382"/>
    <w:rsid w:val="000B4AA3"/>
    <w:rsid w:val="000B506F"/>
    <w:rsid w:val="000B50A9"/>
    <w:rsid w:val="000C00A4"/>
    <w:rsid w:val="000C2C6D"/>
    <w:rsid w:val="000D0171"/>
    <w:rsid w:val="000D0174"/>
    <w:rsid w:val="000D7D56"/>
    <w:rsid w:val="000E0860"/>
    <w:rsid w:val="000E0C7E"/>
    <w:rsid w:val="000E1C12"/>
    <w:rsid w:val="000E3A3B"/>
    <w:rsid w:val="000E5A05"/>
    <w:rsid w:val="000E726B"/>
    <w:rsid w:val="000F1764"/>
    <w:rsid w:val="000F7A01"/>
    <w:rsid w:val="001011B2"/>
    <w:rsid w:val="001030F8"/>
    <w:rsid w:val="00103EA0"/>
    <w:rsid w:val="00105128"/>
    <w:rsid w:val="001055D5"/>
    <w:rsid w:val="00106938"/>
    <w:rsid w:val="0010777F"/>
    <w:rsid w:val="00112631"/>
    <w:rsid w:val="001178C9"/>
    <w:rsid w:val="00120EB6"/>
    <w:rsid w:val="00121B3D"/>
    <w:rsid w:val="00122DE6"/>
    <w:rsid w:val="001230D4"/>
    <w:rsid w:val="001268F3"/>
    <w:rsid w:val="001315A9"/>
    <w:rsid w:val="0013160A"/>
    <w:rsid w:val="00134770"/>
    <w:rsid w:val="00141097"/>
    <w:rsid w:val="00143989"/>
    <w:rsid w:val="00155BB1"/>
    <w:rsid w:val="00156016"/>
    <w:rsid w:val="001560B0"/>
    <w:rsid w:val="001602B6"/>
    <w:rsid w:val="001605E9"/>
    <w:rsid w:val="00160EC5"/>
    <w:rsid w:val="00160F00"/>
    <w:rsid w:val="001623B7"/>
    <w:rsid w:val="0016404A"/>
    <w:rsid w:val="0016582F"/>
    <w:rsid w:val="001658A2"/>
    <w:rsid w:val="00170785"/>
    <w:rsid w:val="00170A3A"/>
    <w:rsid w:val="001740CA"/>
    <w:rsid w:val="00174518"/>
    <w:rsid w:val="001746A9"/>
    <w:rsid w:val="00175B5C"/>
    <w:rsid w:val="00175E0B"/>
    <w:rsid w:val="00175E3E"/>
    <w:rsid w:val="00177BE4"/>
    <w:rsid w:val="00181EA0"/>
    <w:rsid w:val="0018252B"/>
    <w:rsid w:val="00185529"/>
    <w:rsid w:val="00186AD2"/>
    <w:rsid w:val="00192BA3"/>
    <w:rsid w:val="00194C2E"/>
    <w:rsid w:val="00195AAD"/>
    <w:rsid w:val="00195D31"/>
    <w:rsid w:val="0019746F"/>
    <w:rsid w:val="001A0202"/>
    <w:rsid w:val="001A3A90"/>
    <w:rsid w:val="001A7320"/>
    <w:rsid w:val="001A74FF"/>
    <w:rsid w:val="001B0FD6"/>
    <w:rsid w:val="001B3A26"/>
    <w:rsid w:val="001B40C1"/>
    <w:rsid w:val="001B570B"/>
    <w:rsid w:val="001B60F8"/>
    <w:rsid w:val="001C0452"/>
    <w:rsid w:val="001C19F6"/>
    <w:rsid w:val="001C3385"/>
    <w:rsid w:val="001C38AE"/>
    <w:rsid w:val="001C4BDF"/>
    <w:rsid w:val="001C74E7"/>
    <w:rsid w:val="001D10D8"/>
    <w:rsid w:val="001D2042"/>
    <w:rsid w:val="001D502E"/>
    <w:rsid w:val="001E17F3"/>
    <w:rsid w:val="001E1970"/>
    <w:rsid w:val="001E4EAF"/>
    <w:rsid w:val="001F0F57"/>
    <w:rsid w:val="001F3BD7"/>
    <w:rsid w:val="001F4F0E"/>
    <w:rsid w:val="00200FC4"/>
    <w:rsid w:val="00201557"/>
    <w:rsid w:val="00202459"/>
    <w:rsid w:val="002044CD"/>
    <w:rsid w:val="0020537C"/>
    <w:rsid w:val="00207805"/>
    <w:rsid w:val="002114F2"/>
    <w:rsid w:val="00211BE5"/>
    <w:rsid w:val="00213D80"/>
    <w:rsid w:val="00215D60"/>
    <w:rsid w:val="002163A2"/>
    <w:rsid w:val="0021723B"/>
    <w:rsid w:val="00223946"/>
    <w:rsid w:val="002245B1"/>
    <w:rsid w:val="00225D59"/>
    <w:rsid w:val="002278D9"/>
    <w:rsid w:val="0023401C"/>
    <w:rsid w:val="002345BE"/>
    <w:rsid w:val="0023608B"/>
    <w:rsid w:val="002375DD"/>
    <w:rsid w:val="002401B0"/>
    <w:rsid w:val="00240C4B"/>
    <w:rsid w:val="00241EA9"/>
    <w:rsid w:val="00244456"/>
    <w:rsid w:val="00244B95"/>
    <w:rsid w:val="00246090"/>
    <w:rsid w:val="00247AC4"/>
    <w:rsid w:val="00250654"/>
    <w:rsid w:val="00251A26"/>
    <w:rsid w:val="0025229B"/>
    <w:rsid w:val="00253549"/>
    <w:rsid w:val="00253EEA"/>
    <w:rsid w:val="00256EE5"/>
    <w:rsid w:val="0026059B"/>
    <w:rsid w:val="0026220C"/>
    <w:rsid w:val="00262292"/>
    <w:rsid w:val="00262FD4"/>
    <w:rsid w:val="0026504D"/>
    <w:rsid w:val="00266321"/>
    <w:rsid w:val="0027050D"/>
    <w:rsid w:val="00271D54"/>
    <w:rsid w:val="00272758"/>
    <w:rsid w:val="00273778"/>
    <w:rsid w:val="002737AD"/>
    <w:rsid w:val="002764E5"/>
    <w:rsid w:val="00285F18"/>
    <w:rsid w:val="002865B3"/>
    <w:rsid w:val="00290341"/>
    <w:rsid w:val="002934A3"/>
    <w:rsid w:val="002936E4"/>
    <w:rsid w:val="00294DB1"/>
    <w:rsid w:val="0029659F"/>
    <w:rsid w:val="00297A3C"/>
    <w:rsid w:val="002A0277"/>
    <w:rsid w:val="002A075E"/>
    <w:rsid w:val="002A53AB"/>
    <w:rsid w:val="002A6DF2"/>
    <w:rsid w:val="002A708A"/>
    <w:rsid w:val="002A728E"/>
    <w:rsid w:val="002A7994"/>
    <w:rsid w:val="002B1216"/>
    <w:rsid w:val="002B15B5"/>
    <w:rsid w:val="002B1E4A"/>
    <w:rsid w:val="002B5546"/>
    <w:rsid w:val="002B68DB"/>
    <w:rsid w:val="002B6A5A"/>
    <w:rsid w:val="002B6CF2"/>
    <w:rsid w:val="002B7900"/>
    <w:rsid w:val="002C0744"/>
    <w:rsid w:val="002C4E79"/>
    <w:rsid w:val="002D133A"/>
    <w:rsid w:val="002D3BC1"/>
    <w:rsid w:val="002D3C0B"/>
    <w:rsid w:val="002E1EAB"/>
    <w:rsid w:val="002E5E84"/>
    <w:rsid w:val="002E6077"/>
    <w:rsid w:val="002F1FD2"/>
    <w:rsid w:val="00300072"/>
    <w:rsid w:val="00303017"/>
    <w:rsid w:val="00304247"/>
    <w:rsid w:val="003057CF"/>
    <w:rsid w:val="0031177D"/>
    <w:rsid w:val="0031350A"/>
    <w:rsid w:val="00317B9D"/>
    <w:rsid w:val="003209C3"/>
    <w:rsid w:val="00324063"/>
    <w:rsid w:val="003249B9"/>
    <w:rsid w:val="00325D5D"/>
    <w:rsid w:val="00326CAC"/>
    <w:rsid w:val="00327414"/>
    <w:rsid w:val="00330971"/>
    <w:rsid w:val="00331A4E"/>
    <w:rsid w:val="0033309C"/>
    <w:rsid w:val="0033367D"/>
    <w:rsid w:val="00334483"/>
    <w:rsid w:val="00334EF8"/>
    <w:rsid w:val="00345857"/>
    <w:rsid w:val="00345A47"/>
    <w:rsid w:val="00345B3E"/>
    <w:rsid w:val="0034789F"/>
    <w:rsid w:val="003519D1"/>
    <w:rsid w:val="00351F25"/>
    <w:rsid w:val="00354F09"/>
    <w:rsid w:val="00354FDF"/>
    <w:rsid w:val="00355FCA"/>
    <w:rsid w:val="003571F8"/>
    <w:rsid w:val="003623A9"/>
    <w:rsid w:val="003657A9"/>
    <w:rsid w:val="00374975"/>
    <w:rsid w:val="0037588D"/>
    <w:rsid w:val="00385FE3"/>
    <w:rsid w:val="0038688D"/>
    <w:rsid w:val="0038763B"/>
    <w:rsid w:val="003923FB"/>
    <w:rsid w:val="0039281D"/>
    <w:rsid w:val="00392D0E"/>
    <w:rsid w:val="003958EF"/>
    <w:rsid w:val="00396684"/>
    <w:rsid w:val="003A00B7"/>
    <w:rsid w:val="003A087E"/>
    <w:rsid w:val="003A0D50"/>
    <w:rsid w:val="003A18DF"/>
    <w:rsid w:val="003A2FC1"/>
    <w:rsid w:val="003A4195"/>
    <w:rsid w:val="003A642C"/>
    <w:rsid w:val="003B0F97"/>
    <w:rsid w:val="003B112F"/>
    <w:rsid w:val="003B23F3"/>
    <w:rsid w:val="003B3176"/>
    <w:rsid w:val="003B31A8"/>
    <w:rsid w:val="003B47FF"/>
    <w:rsid w:val="003B6E86"/>
    <w:rsid w:val="003B7359"/>
    <w:rsid w:val="003C19AA"/>
    <w:rsid w:val="003C1A54"/>
    <w:rsid w:val="003C2591"/>
    <w:rsid w:val="003C3E48"/>
    <w:rsid w:val="003C63DB"/>
    <w:rsid w:val="003C7826"/>
    <w:rsid w:val="003C7D90"/>
    <w:rsid w:val="003D1C3C"/>
    <w:rsid w:val="003D26B5"/>
    <w:rsid w:val="003D2845"/>
    <w:rsid w:val="003D2D83"/>
    <w:rsid w:val="003D482F"/>
    <w:rsid w:val="003D48B6"/>
    <w:rsid w:val="003D7824"/>
    <w:rsid w:val="003E1676"/>
    <w:rsid w:val="003E1D28"/>
    <w:rsid w:val="003E1DF3"/>
    <w:rsid w:val="003E572E"/>
    <w:rsid w:val="003E58FD"/>
    <w:rsid w:val="003E7F47"/>
    <w:rsid w:val="003F00C4"/>
    <w:rsid w:val="003F325A"/>
    <w:rsid w:val="004025EB"/>
    <w:rsid w:val="00403022"/>
    <w:rsid w:val="0040365F"/>
    <w:rsid w:val="00405F1D"/>
    <w:rsid w:val="00413741"/>
    <w:rsid w:val="00413891"/>
    <w:rsid w:val="00416E40"/>
    <w:rsid w:val="0041766D"/>
    <w:rsid w:val="004176FE"/>
    <w:rsid w:val="0042077A"/>
    <w:rsid w:val="004210A9"/>
    <w:rsid w:val="00421D94"/>
    <w:rsid w:val="004267F2"/>
    <w:rsid w:val="00426BD7"/>
    <w:rsid w:val="00432FF4"/>
    <w:rsid w:val="00441B0D"/>
    <w:rsid w:val="0044593E"/>
    <w:rsid w:val="00446128"/>
    <w:rsid w:val="00447213"/>
    <w:rsid w:val="00451123"/>
    <w:rsid w:val="00451311"/>
    <w:rsid w:val="00451E1E"/>
    <w:rsid w:val="004521B9"/>
    <w:rsid w:val="004543E4"/>
    <w:rsid w:val="00454715"/>
    <w:rsid w:val="004561BD"/>
    <w:rsid w:val="00456998"/>
    <w:rsid w:val="00457EAB"/>
    <w:rsid w:val="004605C3"/>
    <w:rsid w:val="00460A6B"/>
    <w:rsid w:val="00461A03"/>
    <w:rsid w:val="004635D9"/>
    <w:rsid w:val="00463B52"/>
    <w:rsid w:val="00464574"/>
    <w:rsid w:val="00464A38"/>
    <w:rsid w:val="00465347"/>
    <w:rsid w:val="0046629F"/>
    <w:rsid w:val="004665A8"/>
    <w:rsid w:val="00466C44"/>
    <w:rsid w:val="00473EA1"/>
    <w:rsid w:val="0047478B"/>
    <w:rsid w:val="00475604"/>
    <w:rsid w:val="0047674F"/>
    <w:rsid w:val="00476819"/>
    <w:rsid w:val="00476A0F"/>
    <w:rsid w:val="004801FF"/>
    <w:rsid w:val="00480473"/>
    <w:rsid w:val="00485966"/>
    <w:rsid w:val="00485978"/>
    <w:rsid w:val="00486EE9"/>
    <w:rsid w:val="00487996"/>
    <w:rsid w:val="004926D7"/>
    <w:rsid w:val="004945E8"/>
    <w:rsid w:val="00495FAA"/>
    <w:rsid w:val="00496621"/>
    <w:rsid w:val="00496EA5"/>
    <w:rsid w:val="0049710C"/>
    <w:rsid w:val="004A232E"/>
    <w:rsid w:val="004A24D5"/>
    <w:rsid w:val="004A2B96"/>
    <w:rsid w:val="004A2BC8"/>
    <w:rsid w:val="004A2EA0"/>
    <w:rsid w:val="004A559E"/>
    <w:rsid w:val="004A7FB9"/>
    <w:rsid w:val="004B23F0"/>
    <w:rsid w:val="004B2CA3"/>
    <w:rsid w:val="004B2DF5"/>
    <w:rsid w:val="004B4D6C"/>
    <w:rsid w:val="004B4F46"/>
    <w:rsid w:val="004C2CF7"/>
    <w:rsid w:val="004C3D5C"/>
    <w:rsid w:val="004C67E2"/>
    <w:rsid w:val="004D113A"/>
    <w:rsid w:val="004D1B43"/>
    <w:rsid w:val="004E01C7"/>
    <w:rsid w:val="004E03A4"/>
    <w:rsid w:val="004E0492"/>
    <w:rsid w:val="004E0A1B"/>
    <w:rsid w:val="004E0D9A"/>
    <w:rsid w:val="004E363A"/>
    <w:rsid w:val="004E380C"/>
    <w:rsid w:val="004E4D16"/>
    <w:rsid w:val="004E50F7"/>
    <w:rsid w:val="004E556A"/>
    <w:rsid w:val="004F0B9E"/>
    <w:rsid w:val="004F1246"/>
    <w:rsid w:val="004F1737"/>
    <w:rsid w:val="004F1A26"/>
    <w:rsid w:val="004F2464"/>
    <w:rsid w:val="004F6506"/>
    <w:rsid w:val="004F7170"/>
    <w:rsid w:val="0050085E"/>
    <w:rsid w:val="00500FED"/>
    <w:rsid w:val="00502E9B"/>
    <w:rsid w:val="00504A26"/>
    <w:rsid w:val="00507A4C"/>
    <w:rsid w:val="00512F96"/>
    <w:rsid w:val="00513E02"/>
    <w:rsid w:val="00514A21"/>
    <w:rsid w:val="00517CF7"/>
    <w:rsid w:val="00517DAF"/>
    <w:rsid w:val="005223BD"/>
    <w:rsid w:val="005246A2"/>
    <w:rsid w:val="0052742A"/>
    <w:rsid w:val="00531F04"/>
    <w:rsid w:val="00535C87"/>
    <w:rsid w:val="00536C24"/>
    <w:rsid w:val="00537E77"/>
    <w:rsid w:val="00541489"/>
    <w:rsid w:val="00543A77"/>
    <w:rsid w:val="005501D2"/>
    <w:rsid w:val="00550891"/>
    <w:rsid w:val="00552ED9"/>
    <w:rsid w:val="0055437E"/>
    <w:rsid w:val="00556538"/>
    <w:rsid w:val="00563C07"/>
    <w:rsid w:val="005661C3"/>
    <w:rsid w:val="00566602"/>
    <w:rsid w:val="0057525F"/>
    <w:rsid w:val="005758D9"/>
    <w:rsid w:val="00575A9C"/>
    <w:rsid w:val="005769B5"/>
    <w:rsid w:val="0058050F"/>
    <w:rsid w:val="00580FE6"/>
    <w:rsid w:val="00583725"/>
    <w:rsid w:val="00583D03"/>
    <w:rsid w:val="00585AAE"/>
    <w:rsid w:val="005910E5"/>
    <w:rsid w:val="00591DB8"/>
    <w:rsid w:val="00593F4E"/>
    <w:rsid w:val="00594324"/>
    <w:rsid w:val="00595212"/>
    <w:rsid w:val="00597382"/>
    <w:rsid w:val="005A0381"/>
    <w:rsid w:val="005A26FD"/>
    <w:rsid w:val="005A55F5"/>
    <w:rsid w:val="005A7150"/>
    <w:rsid w:val="005A7A37"/>
    <w:rsid w:val="005B238D"/>
    <w:rsid w:val="005B58B9"/>
    <w:rsid w:val="005B646F"/>
    <w:rsid w:val="005C1505"/>
    <w:rsid w:val="005C5867"/>
    <w:rsid w:val="005C7057"/>
    <w:rsid w:val="005D16F1"/>
    <w:rsid w:val="005D1EEE"/>
    <w:rsid w:val="005D250C"/>
    <w:rsid w:val="005E038F"/>
    <w:rsid w:val="005E1101"/>
    <w:rsid w:val="005E247A"/>
    <w:rsid w:val="005E34CB"/>
    <w:rsid w:val="005F0942"/>
    <w:rsid w:val="005F0DE8"/>
    <w:rsid w:val="005F163F"/>
    <w:rsid w:val="005F1C32"/>
    <w:rsid w:val="00600EC6"/>
    <w:rsid w:val="006017D4"/>
    <w:rsid w:val="00602E8E"/>
    <w:rsid w:val="00603181"/>
    <w:rsid w:val="00606A2B"/>
    <w:rsid w:val="00607548"/>
    <w:rsid w:val="00607FA8"/>
    <w:rsid w:val="0061081F"/>
    <w:rsid w:val="00610DF4"/>
    <w:rsid w:val="0061116D"/>
    <w:rsid w:val="00612974"/>
    <w:rsid w:val="00614DD5"/>
    <w:rsid w:val="00614E62"/>
    <w:rsid w:val="00616BD7"/>
    <w:rsid w:val="00622F66"/>
    <w:rsid w:val="0062325D"/>
    <w:rsid w:val="00623549"/>
    <w:rsid w:val="00625B7B"/>
    <w:rsid w:val="00626709"/>
    <w:rsid w:val="00627DA7"/>
    <w:rsid w:val="00630B05"/>
    <w:rsid w:val="00634C75"/>
    <w:rsid w:val="00637537"/>
    <w:rsid w:val="00637EB7"/>
    <w:rsid w:val="00640A41"/>
    <w:rsid w:val="00644272"/>
    <w:rsid w:val="00644BB7"/>
    <w:rsid w:val="00645BB3"/>
    <w:rsid w:val="006476CF"/>
    <w:rsid w:val="00651491"/>
    <w:rsid w:val="006542D3"/>
    <w:rsid w:val="006575D8"/>
    <w:rsid w:val="00665282"/>
    <w:rsid w:val="00665349"/>
    <w:rsid w:val="00670540"/>
    <w:rsid w:val="00672815"/>
    <w:rsid w:val="006736A3"/>
    <w:rsid w:val="00677905"/>
    <w:rsid w:val="0068238C"/>
    <w:rsid w:val="00682B65"/>
    <w:rsid w:val="006831FB"/>
    <w:rsid w:val="0068426B"/>
    <w:rsid w:val="00694317"/>
    <w:rsid w:val="00697ABC"/>
    <w:rsid w:val="006A058B"/>
    <w:rsid w:val="006A075B"/>
    <w:rsid w:val="006A6211"/>
    <w:rsid w:val="006B10B4"/>
    <w:rsid w:val="006B1EFF"/>
    <w:rsid w:val="006B2110"/>
    <w:rsid w:val="006B2BA8"/>
    <w:rsid w:val="006B3694"/>
    <w:rsid w:val="006C1036"/>
    <w:rsid w:val="006C10CF"/>
    <w:rsid w:val="006C1249"/>
    <w:rsid w:val="006C3B5C"/>
    <w:rsid w:val="006C6527"/>
    <w:rsid w:val="006D1BBB"/>
    <w:rsid w:val="006D3796"/>
    <w:rsid w:val="006D55EF"/>
    <w:rsid w:val="006D65CA"/>
    <w:rsid w:val="006D6CA7"/>
    <w:rsid w:val="006D74BD"/>
    <w:rsid w:val="006E0AA7"/>
    <w:rsid w:val="006E1944"/>
    <w:rsid w:val="006E3467"/>
    <w:rsid w:val="006E4859"/>
    <w:rsid w:val="006E6219"/>
    <w:rsid w:val="006F20DC"/>
    <w:rsid w:val="006F4C88"/>
    <w:rsid w:val="006F6901"/>
    <w:rsid w:val="007005EA"/>
    <w:rsid w:val="00701F64"/>
    <w:rsid w:val="00703F7C"/>
    <w:rsid w:val="00707473"/>
    <w:rsid w:val="00713368"/>
    <w:rsid w:val="00716173"/>
    <w:rsid w:val="0072120B"/>
    <w:rsid w:val="007241F7"/>
    <w:rsid w:val="00725DE8"/>
    <w:rsid w:val="00730EF7"/>
    <w:rsid w:val="007322A6"/>
    <w:rsid w:val="007356C2"/>
    <w:rsid w:val="00736521"/>
    <w:rsid w:val="00736A1B"/>
    <w:rsid w:val="00736D0D"/>
    <w:rsid w:val="007373BE"/>
    <w:rsid w:val="00737F54"/>
    <w:rsid w:val="007405B4"/>
    <w:rsid w:val="00740C63"/>
    <w:rsid w:val="00740D5B"/>
    <w:rsid w:val="00741749"/>
    <w:rsid w:val="00741D16"/>
    <w:rsid w:val="0074251A"/>
    <w:rsid w:val="00742585"/>
    <w:rsid w:val="007430E6"/>
    <w:rsid w:val="00744887"/>
    <w:rsid w:val="00750065"/>
    <w:rsid w:val="00750597"/>
    <w:rsid w:val="007526AC"/>
    <w:rsid w:val="00755119"/>
    <w:rsid w:val="00762C80"/>
    <w:rsid w:val="007634B8"/>
    <w:rsid w:val="0076400C"/>
    <w:rsid w:val="00765FA3"/>
    <w:rsid w:val="00765FE0"/>
    <w:rsid w:val="007670BB"/>
    <w:rsid w:val="007716A1"/>
    <w:rsid w:val="007801A1"/>
    <w:rsid w:val="007805D0"/>
    <w:rsid w:val="007811D0"/>
    <w:rsid w:val="0078198A"/>
    <w:rsid w:val="0078351B"/>
    <w:rsid w:val="00783E10"/>
    <w:rsid w:val="007851D7"/>
    <w:rsid w:val="00786ABC"/>
    <w:rsid w:val="007873B2"/>
    <w:rsid w:val="0079130A"/>
    <w:rsid w:val="00792142"/>
    <w:rsid w:val="0079279D"/>
    <w:rsid w:val="00793BA1"/>
    <w:rsid w:val="00794F86"/>
    <w:rsid w:val="00795B81"/>
    <w:rsid w:val="00796870"/>
    <w:rsid w:val="00797C08"/>
    <w:rsid w:val="00797D9F"/>
    <w:rsid w:val="007A27E4"/>
    <w:rsid w:val="007A5EC6"/>
    <w:rsid w:val="007A5F7A"/>
    <w:rsid w:val="007A6344"/>
    <w:rsid w:val="007A74F5"/>
    <w:rsid w:val="007B04FA"/>
    <w:rsid w:val="007B0E52"/>
    <w:rsid w:val="007B15F4"/>
    <w:rsid w:val="007B190D"/>
    <w:rsid w:val="007B2383"/>
    <w:rsid w:val="007B26D1"/>
    <w:rsid w:val="007B33A9"/>
    <w:rsid w:val="007B45A7"/>
    <w:rsid w:val="007B65C5"/>
    <w:rsid w:val="007B7065"/>
    <w:rsid w:val="007B779A"/>
    <w:rsid w:val="007C0299"/>
    <w:rsid w:val="007C219B"/>
    <w:rsid w:val="007C4293"/>
    <w:rsid w:val="007C47EF"/>
    <w:rsid w:val="007C4A73"/>
    <w:rsid w:val="007D4729"/>
    <w:rsid w:val="007D5C79"/>
    <w:rsid w:val="007D7DF9"/>
    <w:rsid w:val="007E341F"/>
    <w:rsid w:val="007E54E4"/>
    <w:rsid w:val="007E5530"/>
    <w:rsid w:val="007E5910"/>
    <w:rsid w:val="007E6228"/>
    <w:rsid w:val="007F008B"/>
    <w:rsid w:val="007F35D0"/>
    <w:rsid w:val="007F504A"/>
    <w:rsid w:val="007F6EE5"/>
    <w:rsid w:val="007F7671"/>
    <w:rsid w:val="0080118A"/>
    <w:rsid w:val="00803378"/>
    <w:rsid w:val="00805AFD"/>
    <w:rsid w:val="00807048"/>
    <w:rsid w:val="00815938"/>
    <w:rsid w:val="00816285"/>
    <w:rsid w:val="00816BEB"/>
    <w:rsid w:val="00817D45"/>
    <w:rsid w:val="0082249D"/>
    <w:rsid w:val="008254FE"/>
    <w:rsid w:val="00825B2D"/>
    <w:rsid w:val="008262BF"/>
    <w:rsid w:val="008279DE"/>
    <w:rsid w:val="00827ABB"/>
    <w:rsid w:val="00830023"/>
    <w:rsid w:val="00832A0C"/>
    <w:rsid w:val="00832C8A"/>
    <w:rsid w:val="0083419B"/>
    <w:rsid w:val="00834D4F"/>
    <w:rsid w:val="0083513A"/>
    <w:rsid w:val="00837455"/>
    <w:rsid w:val="0084030C"/>
    <w:rsid w:val="00852829"/>
    <w:rsid w:val="0085480D"/>
    <w:rsid w:val="00854A76"/>
    <w:rsid w:val="00855387"/>
    <w:rsid w:val="0086093C"/>
    <w:rsid w:val="008615C5"/>
    <w:rsid w:val="008646AA"/>
    <w:rsid w:val="008702C3"/>
    <w:rsid w:val="0087037D"/>
    <w:rsid w:val="00870D2D"/>
    <w:rsid w:val="00873B7D"/>
    <w:rsid w:val="0087563E"/>
    <w:rsid w:val="00877CDA"/>
    <w:rsid w:val="00880CA6"/>
    <w:rsid w:val="008815C0"/>
    <w:rsid w:val="008831F9"/>
    <w:rsid w:val="0088471E"/>
    <w:rsid w:val="00886AD9"/>
    <w:rsid w:val="008908A8"/>
    <w:rsid w:val="00890A39"/>
    <w:rsid w:val="00891BA6"/>
    <w:rsid w:val="00892367"/>
    <w:rsid w:val="00894B32"/>
    <w:rsid w:val="008974A9"/>
    <w:rsid w:val="00897BA6"/>
    <w:rsid w:val="008A0F4D"/>
    <w:rsid w:val="008A1C04"/>
    <w:rsid w:val="008A3A5A"/>
    <w:rsid w:val="008A3BE8"/>
    <w:rsid w:val="008A491C"/>
    <w:rsid w:val="008A5577"/>
    <w:rsid w:val="008A72AC"/>
    <w:rsid w:val="008B08C3"/>
    <w:rsid w:val="008B31E2"/>
    <w:rsid w:val="008B6ED6"/>
    <w:rsid w:val="008C0E15"/>
    <w:rsid w:val="008C167B"/>
    <w:rsid w:val="008C64E2"/>
    <w:rsid w:val="008D0B45"/>
    <w:rsid w:val="008D371F"/>
    <w:rsid w:val="008D58F6"/>
    <w:rsid w:val="008D71D0"/>
    <w:rsid w:val="008D7B8C"/>
    <w:rsid w:val="008D7CD7"/>
    <w:rsid w:val="008E03E4"/>
    <w:rsid w:val="008E09FF"/>
    <w:rsid w:val="008E12FD"/>
    <w:rsid w:val="008E1500"/>
    <w:rsid w:val="008E5451"/>
    <w:rsid w:val="008E64A3"/>
    <w:rsid w:val="008E7169"/>
    <w:rsid w:val="008E7E30"/>
    <w:rsid w:val="008F1158"/>
    <w:rsid w:val="008F150B"/>
    <w:rsid w:val="008F1C01"/>
    <w:rsid w:val="008F41B1"/>
    <w:rsid w:val="009016BE"/>
    <w:rsid w:val="009079FB"/>
    <w:rsid w:val="00911165"/>
    <w:rsid w:val="0091235D"/>
    <w:rsid w:val="00922EE1"/>
    <w:rsid w:val="00925F97"/>
    <w:rsid w:val="009268E3"/>
    <w:rsid w:val="0093070C"/>
    <w:rsid w:val="0093075F"/>
    <w:rsid w:val="009319C3"/>
    <w:rsid w:val="00931D3B"/>
    <w:rsid w:val="009328FB"/>
    <w:rsid w:val="009354DF"/>
    <w:rsid w:val="00937EB8"/>
    <w:rsid w:val="00944E8D"/>
    <w:rsid w:val="009467A5"/>
    <w:rsid w:val="009506E2"/>
    <w:rsid w:val="00950B15"/>
    <w:rsid w:val="0095139F"/>
    <w:rsid w:val="00954F73"/>
    <w:rsid w:val="00957DE8"/>
    <w:rsid w:val="00957F6F"/>
    <w:rsid w:val="00960E69"/>
    <w:rsid w:val="009619A0"/>
    <w:rsid w:val="009702F4"/>
    <w:rsid w:val="009827D6"/>
    <w:rsid w:val="009836EF"/>
    <w:rsid w:val="00986257"/>
    <w:rsid w:val="009867B2"/>
    <w:rsid w:val="00986935"/>
    <w:rsid w:val="009904B4"/>
    <w:rsid w:val="0099252D"/>
    <w:rsid w:val="0099713F"/>
    <w:rsid w:val="009A18C3"/>
    <w:rsid w:val="009A2EF9"/>
    <w:rsid w:val="009A6B25"/>
    <w:rsid w:val="009A6BAF"/>
    <w:rsid w:val="009A6C40"/>
    <w:rsid w:val="009B1955"/>
    <w:rsid w:val="009B25DF"/>
    <w:rsid w:val="009B2AD3"/>
    <w:rsid w:val="009B357C"/>
    <w:rsid w:val="009B756E"/>
    <w:rsid w:val="009C1790"/>
    <w:rsid w:val="009C57E7"/>
    <w:rsid w:val="009C6F32"/>
    <w:rsid w:val="009C6F9E"/>
    <w:rsid w:val="009D1430"/>
    <w:rsid w:val="009D1E9F"/>
    <w:rsid w:val="009D3AFD"/>
    <w:rsid w:val="009D72F7"/>
    <w:rsid w:val="009E3703"/>
    <w:rsid w:val="009E5750"/>
    <w:rsid w:val="009E6070"/>
    <w:rsid w:val="009E65EE"/>
    <w:rsid w:val="009E6D0E"/>
    <w:rsid w:val="009F0D22"/>
    <w:rsid w:val="009F26B1"/>
    <w:rsid w:val="009F7B1E"/>
    <w:rsid w:val="00A03E98"/>
    <w:rsid w:val="00A07ED4"/>
    <w:rsid w:val="00A11D1D"/>
    <w:rsid w:val="00A12002"/>
    <w:rsid w:val="00A13B68"/>
    <w:rsid w:val="00A14B96"/>
    <w:rsid w:val="00A14FF3"/>
    <w:rsid w:val="00A16F87"/>
    <w:rsid w:val="00A17AB5"/>
    <w:rsid w:val="00A25EA1"/>
    <w:rsid w:val="00A2706B"/>
    <w:rsid w:val="00A275B7"/>
    <w:rsid w:val="00A27FD7"/>
    <w:rsid w:val="00A33001"/>
    <w:rsid w:val="00A3379F"/>
    <w:rsid w:val="00A34A73"/>
    <w:rsid w:val="00A34B83"/>
    <w:rsid w:val="00A34E9C"/>
    <w:rsid w:val="00A360AC"/>
    <w:rsid w:val="00A3620E"/>
    <w:rsid w:val="00A40699"/>
    <w:rsid w:val="00A426F5"/>
    <w:rsid w:val="00A445EC"/>
    <w:rsid w:val="00A44F5F"/>
    <w:rsid w:val="00A50576"/>
    <w:rsid w:val="00A54A45"/>
    <w:rsid w:val="00A54CD3"/>
    <w:rsid w:val="00A619E7"/>
    <w:rsid w:val="00A63B9E"/>
    <w:rsid w:val="00A645B6"/>
    <w:rsid w:val="00A6604D"/>
    <w:rsid w:val="00A67F1B"/>
    <w:rsid w:val="00A7304F"/>
    <w:rsid w:val="00A73AA5"/>
    <w:rsid w:val="00A75C7E"/>
    <w:rsid w:val="00A76F96"/>
    <w:rsid w:val="00A81596"/>
    <w:rsid w:val="00A8207C"/>
    <w:rsid w:val="00A84C79"/>
    <w:rsid w:val="00A85FA5"/>
    <w:rsid w:val="00A93000"/>
    <w:rsid w:val="00A94C79"/>
    <w:rsid w:val="00A962C4"/>
    <w:rsid w:val="00A9762F"/>
    <w:rsid w:val="00AA2A6B"/>
    <w:rsid w:val="00AA6321"/>
    <w:rsid w:val="00AA6343"/>
    <w:rsid w:val="00AA7271"/>
    <w:rsid w:val="00AA72EB"/>
    <w:rsid w:val="00AC1A3A"/>
    <w:rsid w:val="00AC286E"/>
    <w:rsid w:val="00AC3782"/>
    <w:rsid w:val="00AC3C30"/>
    <w:rsid w:val="00AC5AD7"/>
    <w:rsid w:val="00AC5E4E"/>
    <w:rsid w:val="00AC7367"/>
    <w:rsid w:val="00AC78FF"/>
    <w:rsid w:val="00AD0D27"/>
    <w:rsid w:val="00AD112B"/>
    <w:rsid w:val="00AD29C3"/>
    <w:rsid w:val="00AD3A5B"/>
    <w:rsid w:val="00AD542A"/>
    <w:rsid w:val="00AD592E"/>
    <w:rsid w:val="00AD6F38"/>
    <w:rsid w:val="00AD7B32"/>
    <w:rsid w:val="00AE33EB"/>
    <w:rsid w:val="00AE41EA"/>
    <w:rsid w:val="00AE4389"/>
    <w:rsid w:val="00AE76CD"/>
    <w:rsid w:val="00AF0D1C"/>
    <w:rsid w:val="00AF15A1"/>
    <w:rsid w:val="00AF1A24"/>
    <w:rsid w:val="00AF1B5D"/>
    <w:rsid w:val="00AF235D"/>
    <w:rsid w:val="00AF6588"/>
    <w:rsid w:val="00AF69AE"/>
    <w:rsid w:val="00AF7E34"/>
    <w:rsid w:val="00B03021"/>
    <w:rsid w:val="00B054D8"/>
    <w:rsid w:val="00B071C1"/>
    <w:rsid w:val="00B07E69"/>
    <w:rsid w:val="00B10230"/>
    <w:rsid w:val="00B10A6C"/>
    <w:rsid w:val="00B153E8"/>
    <w:rsid w:val="00B16003"/>
    <w:rsid w:val="00B17404"/>
    <w:rsid w:val="00B1756F"/>
    <w:rsid w:val="00B242AE"/>
    <w:rsid w:val="00B26ED3"/>
    <w:rsid w:val="00B26F42"/>
    <w:rsid w:val="00B271AE"/>
    <w:rsid w:val="00B321B7"/>
    <w:rsid w:val="00B32B57"/>
    <w:rsid w:val="00B33081"/>
    <w:rsid w:val="00B33D30"/>
    <w:rsid w:val="00B36EAF"/>
    <w:rsid w:val="00B37046"/>
    <w:rsid w:val="00B37C29"/>
    <w:rsid w:val="00B37FD6"/>
    <w:rsid w:val="00B41909"/>
    <w:rsid w:val="00B441BF"/>
    <w:rsid w:val="00B45282"/>
    <w:rsid w:val="00B4703B"/>
    <w:rsid w:val="00B47E43"/>
    <w:rsid w:val="00B51246"/>
    <w:rsid w:val="00B537A6"/>
    <w:rsid w:val="00B57816"/>
    <w:rsid w:val="00B615C0"/>
    <w:rsid w:val="00B62D37"/>
    <w:rsid w:val="00B63824"/>
    <w:rsid w:val="00B64D8E"/>
    <w:rsid w:val="00B64F2A"/>
    <w:rsid w:val="00B655A3"/>
    <w:rsid w:val="00B73C9A"/>
    <w:rsid w:val="00B759E1"/>
    <w:rsid w:val="00B76860"/>
    <w:rsid w:val="00B76B77"/>
    <w:rsid w:val="00B80AD2"/>
    <w:rsid w:val="00B819B7"/>
    <w:rsid w:val="00B86C94"/>
    <w:rsid w:val="00B8785E"/>
    <w:rsid w:val="00B932F5"/>
    <w:rsid w:val="00B938DA"/>
    <w:rsid w:val="00BA1203"/>
    <w:rsid w:val="00BA12BE"/>
    <w:rsid w:val="00BA152E"/>
    <w:rsid w:val="00BA1D94"/>
    <w:rsid w:val="00BA5912"/>
    <w:rsid w:val="00BB32F8"/>
    <w:rsid w:val="00BB33B5"/>
    <w:rsid w:val="00BB365A"/>
    <w:rsid w:val="00BB3711"/>
    <w:rsid w:val="00BB593A"/>
    <w:rsid w:val="00BB5DAE"/>
    <w:rsid w:val="00BB791F"/>
    <w:rsid w:val="00BC43D8"/>
    <w:rsid w:val="00BC586D"/>
    <w:rsid w:val="00BD1BC1"/>
    <w:rsid w:val="00BE25DA"/>
    <w:rsid w:val="00BE5D90"/>
    <w:rsid w:val="00BF2877"/>
    <w:rsid w:val="00BF3361"/>
    <w:rsid w:val="00BF3566"/>
    <w:rsid w:val="00BF509A"/>
    <w:rsid w:val="00C006E1"/>
    <w:rsid w:val="00C00A39"/>
    <w:rsid w:val="00C0161B"/>
    <w:rsid w:val="00C044F6"/>
    <w:rsid w:val="00C047AB"/>
    <w:rsid w:val="00C05C68"/>
    <w:rsid w:val="00C06751"/>
    <w:rsid w:val="00C07CB7"/>
    <w:rsid w:val="00C07DF4"/>
    <w:rsid w:val="00C133BA"/>
    <w:rsid w:val="00C14476"/>
    <w:rsid w:val="00C155C3"/>
    <w:rsid w:val="00C1692B"/>
    <w:rsid w:val="00C1794A"/>
    <w:rsid w:val="00C20439"/>
    <w:rsid w:val="00C220D2"/>
    <w:rsid w:val="00C23922"/>
    <w:rsid w:val="00C23F93"/>
    <w:rsid w:val="00C26212"/>
    <w:rsid w:val="00C265F4"/>
    <w:rsid w:val="00C37209"/>
    <w:rsid w:val="00C41703"/>
    <w:rsid w:val="00C4341E"/>
    <w:rsid w:val="00C44300"/>
    <w:rsid w:val="00C46DB3"/>
    <w:rsid w:val="00C47BB0"/>
    <w:rsid w:val="00C51DCC"/>
    <w:rsid w:val="00C523FB"/>
    <w:rsid w:val="00C567B1"/>
    <w:rsid w:val="00C607B1"/>
    <w:rsid w:val="00C627EE"/>
    <w:rsid w:val="00C63DAF"/>
    <w:rsid w:val="00C650B2"/>
    <w:rsid w:val="00C65912"/>
    <w:rsid w:val="00C65FFF"/>
    <w:rsid w:val="00C72D3E"/>
    <w:rsid w:val="00C7649C"/>
    <w:rsid w:val="00C81843"/>
    <w:rsid w:val="00C84C94"/>
    <w:rsid w:val="00C85A07"/>
    <w:rsid w:val="00C87629"/>
    <w:rsid w:val="00C87A8E"/>
    <w:rsid w:val="00C9131F"/>
    <w:rsid w:val="00C93A28"/>
    <w:rsid w:val="00C94951"/>
    <w:rsid w:val="00CA1079"/>
    <w:rsid w:val="00CA3353"/>
    <w:rsid w:val="00CA3C21"/>
    <w:rsid w:val="00CA7B38"/>
    <w:rsid w:val="00CB39AB"/>
    <w:rsid w:val="00CB3FD6"/>
    <w:rsid w:val="00CB4327"/>
    <w:rsid w:val="00CB4D89"/>
    <w:rsid w:val="00CB6691"/>
    <w:rsid w:val="00CB7005"/>
    <w:rsid w:val="00CB7EEA"/>
    <w:rsid w:val="00CC1B77"/>
    <w:rsid w:val="00CC2046"/>
    <w:rsid w:val="00CC503C"/>
    <w:rsid w:val="00CC7E8E"/>
    <w:rsid w:val="00CD1951"/>
    <w:rsid w:val="00CD262A"/>
    <w:rsid w:val="00CD3D31"/>
    <w:rsid w:val="00CD53EF"/>
    <w:rsid w:val="00CD7E85"/>
    <w:rsid w:val="00CE0E3D"/>
    <w:rsid w:val="00CE695E"/>
    <w:rsid w:val="00CF3973"/>
    <w:rsid w:val="00CF7413"/>
    <w:rsid w:val="00CF7909"/>
    <w:rsid w:val="00D017F1"/>
    <w:rsid w:val="00D052F9"/>
    <w:rsid w:val="00D061AB"/>
    <w:rsid w:val="00D132B5"/>
    <w:rsid w:val="00D13AFE"/>
    <w:rsid w:val="00D13F3F"/>
    <w:rsid w:val="00D167E1"/>
    <w:rsid w:val="00D17DAF"/>
    <w:rsid w:val="00D22828"/>
    <w:rsid w:val="00D2326B"/>
    <w:rsid w:val="00D24BCC"/>
    <w:rsid w:val="00D32222"/>
    <w:rsid w:val="00D322B4"/>
    <w:rsid w:val="00D32F94"/>
    <w:rsid w:val="00D33593"/>
    <w:rsid w:val="00D33766"/>
    <w:rsid w:val="00D33AC5"/>
    <w:rsid w:val="00D37466"/>
    <w:rsid w:val="00D4247C"/>
    <w:rsid w:val="00D44046"/>
    <w:rsid w:val="00D45570"/>
    <w:rsid w:val="00D56631"/>
    <w:rsid w:val="00D56FA1"/>
    <w:rsid w:val="00D63BD7"/>
    <w:rsid w:val="00D66206"/>
    <w:rsid w:val="00D76F76"/>
    <w:rsid w:val="00D80577"/>
    <w:rsid w:val="00D81C4F"/>
    <w:rsid w:val="00D825F3"/>
    <w:rsid w:val="00D83A8D"/>
    <w:rsid w:val="00D83B8F"/>
    <w:rsid w:val="00D83D87"/>
    <w:rsid w:val="00D84565"/>
    <w:rsid w:val="00D91771"/>
    <w:rsid w:val="00D93468"/>
    <w:rsid w:val="00D936BC"/>
    <w:rsid w:val="00D946DD"/>
    <w:rsid w:val="00DA0BF7"/>
    <w:rsid w:val="00DA256F"/>
    <w:rsid w:val="00DA2879"/>
    <w:rsid w:val="00DA391C"/>
    <w:rsid w:val="00DA3D33"/>
    <w:rsid w:val="00DA4A46"/>
    <w:rsid w:val="00DA5121"/>
    <w:rsid w:val="00DB684C"/>
    <w:rsid w:val="00DC08EC"/>
    <w:rsid w:val="00DC0B21"/>
    <w:rsid w:val="00DC2594"/>
    <w:rsid w:val="00DC316D"/>
    <w:rsid w:val="00DC3B58"/>
    <w:rsid w:val="00DC4921"/>
    <w:rsid w:val="00DD0AA7"/>
    <w:rsid w:val="00DD0AFE"/>
    <w:rsid w:val="00DD2DE2"/>
    <w:rsid w:val="00DD3F74"/>
    <w:rsid w:val="00DD4077"/>
    <w:rsid w:val="00DE245F"/>
    <w:rsid w:val="00DE72C4"/>
    <w:rsid w:val="00DF462E"/>
    <w:rsid w:val="00DF4F8B"/>
    <w:rsid w:val="00DF5B95"/>
    <w:rsid w:val="00DF6E1F"/>
    <w:rsid w:val="00E01978"/>
    <w:rsid w:val="00E02AB0"/>
    <w:rsid w:val="00E06E51"/>
    <w:rsid w:val="00E07311"/>
    <w:rsid w:val="00E141BA"/>
    <w:rsid w:val="00E164B3"/>
    <w:rsid w:val="00E16883"/>
    <w:rsid w:val="00E2086B"/>
    <w:rsid w:val="00E2088B"/>
    <w:rsid w:val="00E21B16"/>
    <w:rsid w:val="00E22A30"/>
    <w:rsid w:val="00E2692F"/>
    <w:rsid w:val="00E30E85"/>
    <w:rsid w:val="00E3217E"/>
    <w:rsid w:val="00E32B92"/>
    <w:rsid w:val="00E3309B"/>
    <w:rsid w:val="00E35091"/>
    <w:rsid w:val="00E35ABB"/>
    <w:rsid w:val="00E3616C"/>
    <w:rsid w:val="00E37194"/>
    <w:rsid w:val="00E42F83"/>
    <w:rsid w:val="00E44049"/>
    <w:rsid w:val="00E4541E"/>
    <w:rsid w:val="00E4576E"/>
    <w:rsid w:val="00E5175F"/>
    <w:rsid w:val="00E51D39"/>
    <w:rsid w:val="00E51DD2"/>
    <w:rsid w:val="00E52D62"/>
    <w:rsid w:val="00E5438E"/>
    <w:rsid w:val="00E54BC0"/>
    <w:rsid w:val="00E5697C"/>
    <w:rsid w:val="00E57D7F"/>
    <w:rsid w:val="00E66656"/>
    <w:rsid w:val="00E70B64"/>
    <w:rsid w:val="00E86004"/>
    <w:rsid w:val="00E929AC"/>
    <w:rsid w:val="00E93B9D"/>
    <w:rsid w:val="00E9482F"/>
    <w:rsid w:val="00E95BDD"/>
    <w:rsid w:val="00E96E30"/>
    <w:rsid w:val="00EA256B"/>
    <w:rsid w:val="00EA25B2"/>
    <w:rsid w:val="00EA31EB"/>
    <w:rsid w:val="00EA476F"/>
    <w:rsid w:val="00EA527F"/>
    <w:rsid w:val="00EA5A4D"/>
    <w:rsid w:val="00EA5F56"/>
    <w:rsid w:val="00EB411F"/>
    <w:rsid w:val="00EB6B5E"/>
    <w:rsid w:val="00EC073C"/>
    <w:rsid w:val="00EC1819"/>
    <w:rsid w:val="00EC5DA4"/>
    <w:rsid w:val="00EC73A3"/>
    <w:rsid w:val="00ED3574"/>
    <w:rsid w:val="00EE6C20"/>
    <w:rsid w:val="00EE70A3"/>
    <w:rsid w:val="00EF01C2"/>
    <w:rsid w:val="00EF2F1E"/>
    <w:rsid w:val="00EF4EC7"/>
    <w:rsid w:val="00EF5021"/>
    <w:rsid w:val="00EF520C"/>
    <w:rsid w:val="00EF6669"/>
    <w:rsid w:val="00EF6BE1"/>
    <w:rsid w:val="00EF70F1"/>
    <w:rsid w:val="00F00BD2"/>
    <w:rsid w:val="00F00C18"/>
    <w:rsid w:val="00F05621"/>
    <w:rsid w:val="00F057F3"/>
    <w:rsid w:val="00F06D77"/>
    <w:rsid w:val="00F07669"/>
    <w:rsid w:val="00F101A0"/>
    <w:rsid w:val="00F11344"/>
    <w:rsid w:val="00F11BE0"/>
    <w:rsid w:val="00F11DFC"/>
    <w:rsid w:val="00F13D8A"/>
    <w:rsid w:val="00F15804"/>
    <w:rsid w:val="00F227E7"/>
    <w:rsid w:val="00F24EA5"/>
    <w:rsid w:val="00F25E86"/>
    <w:rsid w:val="00F306FF"/>
    <w:rsid w:val="00F30803"/>
    <w:rsid w:val="00F3215F"/>
    <w:rsid w:val="00F339E0"/>
    <w:rsid w:val="00F35226"/>
    <w:rsid w:val="00F35280"/>
    <w:rsid w:val="00F37133"/>
    <w:rsid w:val="00F40D80"/>
    <w:rsid w:val="00F43DAB"/>
    <w:rsid w:val="00F53854"/>
    <w:rsid w:val="00F53FE3"/>
    <w:rsid w:val="00F55591"/>
    <w:rsid w:val="00F55EE2"/>
    <w:rsid w:val="00F5603F"/>
    <w:rsid w:val="00F561D3"/>
    <w:rsid w:val="00F56EDC"/>
    <w:rsid w:val="00F62A89"/>
    <w:rsid w:val="00F6338E"/>
    <w:rsid w:val="00F64F15"/>
    <w:rsid w:val="00F653EB"/>
    <w:rsid w:val="00F65491"/>
    <w:rsid w:val="00F7168E"/>
    <w:rsid w:val="00F72ADC"/>
    <w:rsid w:val="00F735BA"/>
    <w:rsid w:val="00F75B1E"/>
    <w:rsid w:val="00F818BB"/>
    <w:rsid w:val="00F82BDA"/>
    <w:rsid w:val="00F82DBC"/>
    <w:rsid w:val="00F86939"/>
    <w:rsid w:val="00F8695E"/>
    <w:rsid w:val="00F908F4"/>
    <w:rsid w:val="00F91547"/>
    <w:rsid w:val="00F91C4F"/>
    <w:rsid w:val="00F95DD0"/>
    <w:rsid w:val="00F96841"/>
    <w:rsid w:val="00FA1E7C"/>
    <w:rsid w:val="00FA2217"/>
    <w:rsid w:val="00FA31C6"/>
    <w:rsid w:val="00FA3E4C"/>
    <w:rsid w:val="00FA48E1"/>
    <w:rsid w:val="00FA59B4"/>
    <w:rsid w:val="00FA68DF"/>
    <w:rsid w:val="00FA6A8B"/>
    <w:rsid w:val="00FA7A97"/>
    <w:rsid w:val="00FB173A"/>
    <w:rsid w:val="00FB1D92"/>
    <w:rsid w:val="00FB2B21"/>
    <w:rsid w:val="00FB3355"/>
    <w:rsid w:val="00FB3793"/>
    <w:rsid w:val="00FB3D13"/>
    <w:rsid w:val="00FB6748"/>
    <w:rsid w:val="00FB7120"/>
    <w:rsid w:val="00FC000A"/>
    <w:rsid w:val="00FC0123"/>
    <w:rsid w:val="00FC2797"/>
    <w:rsid w:val="00FC5E56"/>
    <w:rsid w:val="00FD0EF8"/>
    <w:rsid w:val="00FD1035"/>
    <w:rsid w:val="00FD2088"/>
    <w:rsid w:val="00FD2B35"/>
    <w:rsid w:val="00FD376F"/>
    <w:rsid w:val="00FD5032"/>
    <w:rsid w:val="00FD5206"/>
    <w:rsid w:val="00FD7624"/>
    <w:rsid w:val="00FE29F4"/>
    <w:rsid w:val="00FE353B"/>
    <w:rsid w:val="00FE3640"/>
    <w:rsid w:val="00FE3C41"/>
    <w:rsid w:val="00FE5589"/>
    <w:rsid w:val="00FE6058"/>
    <w:rsid w:val="00FE6CB7"/>
    <w:rsid w:val="00FE791A"/>
    <w:rsid w:val="00FF0979"/>
    <w:rsid w:val="00FF2C18"/>
    <w:rsid w:val="00FF318E"/>
    <w:rsid w:val="00FF38B4"/>
    <w:rsid w:val="00FF79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35035"/>
  <w15:chartTrackingRefBased/>
  <w15:docId w15:val="{86DCB1BD-CD10-4BFB-925D-7D605960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7B0E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ZA"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52"/>
    <w:rPr>
      <w:rFonts w:ascii="Times New Roman" w:eastAsia="Times New Roman" w:hAnsi="Times New Roman" w:cs="Times New Roman"/>
      <w:b/>
      <w:bCs/>
      <w:kern w:val="36"/>
      <w:sz w:val="48"/>
      <w:szCs w:val="48"/>
      <w:lang w:eastAsia="en-ZA"/>
      <w14:ligatures w14:val="none"/>
    </w:rPr>
  </w:style>
  <w:style w:type="character" w:customStyle="1" w:styleId="zm-tooltip">
    <w:name w:val="zm-tooltip"/>
    <w:basedOn w:val="DefaultParagraphFont"/>
    <w:rsid w:val="007B0E52"/>
  </w:style>
  <w:style w:type="paragraph" w:styleId="PlainText">
    <w:name w:val="Plain Text"/>
    <w:basedOn w:val="Normal"/>
    <w:link w:val="PlainTextChar"/>
    <w:uiPriority w:val="99"/>
    <w:unhideWhenUsed/>
    <w:rsid w:val="003344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4483"/>
    <w:rPr>
      <w:rFonts w:ascii="Consolas" w:hAnsi="Consolas"/>
      <w:sz w:val="21"/>
      <w:szCs w:val="21"/>
      <w:lang w:val="en-GB"/>
    </w:rPr>
  </w:style>
  <w:style w:type="table" w:styleId="TableGrid">
    <w:name w:val="Table Grid"/>
    <w:basedOn w:val="TableNormal"/>
    <w:uiPriority w:val="39"/>
    <w:rsid w:val="0057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FC4"/>
    <w:rPr>
      <w:lang w:val="en-GB"/>
    </w:rPr>
  </w:style>
  <w:style w:type="paragraph" w:styleId="Footer">
    <w:name w:val="footer"/>
    <w:basedOn w:val="Normal"/>
    <w:link w:val="FooterChar"/>
    <w:uiPriority w:val="99"/>
    <w:unhideWhenUsed/>
    <w:rsid w:val="00200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FC4"/>
    <w:rPr>
      <w:lang w:val="en-GB"/>
    </w:rPr>
  </w:style>
  <w:style w:type="paragraph" w:styleId="ListParagraph">
    <w:name w:val="List Paragraph"/>
    <w:basedOn w:val="Normal"/>
    <w:rsid w:val="003958EF"/>
    <w:pPr>
      <w:suppressAutoHyphens/>
      <w:autoSpaceDN w:val="0"/>
      <w:spacing w:line="249" w:lineRule="auto"/>
      <w:ind w:left="720"/>
      <w:textAlignment w:val="baseline"/>
    </w:pPr>
    <w:rPr>
      <w:rFonts w:ascii="Calibri" w:eastAsia="Calibri" w:hAnsi="Calibri" w:cs="Times New Roman"/>
      <w:kern w:val="3"/>
      <w14:ligatures w14:val="none"/>
    </w:rPr>
  </w:style>
  <w:style w:type="paragraph" w:styleId="Revision">
    <w:name w:val="Revision"/>
    <w:hidden/>
    <w:uiPriority w:val="99"/>
    <w:semiHidden/>
    <w:rsid w:val="00880CA6"/>
    <w:pPr>
      <w:spacing w:after="0" w:line="240" w:lineRule="auto"/>
    </w:pPr>
    <w:rPr>
      <w:lang w:val="en-GB"/>
    </w:rPr>
  </w:style>
  <w:style w:type="character" w:customStyle="1" w:styleId="fontstyle01">
    <w:name w:val="fontstyle01"/>
    <w:basedOn w:val="DefaultParagraphFont"/>
    <w:rsid w:val="00B441BF"/>
    <w:rPr>
      <w:rFonts w:ascii="Gotham-Book" w:hAnsi="Gotham-Book"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02335">
      <w:bodyDiv w:val="1"/>
      <w:marLeft w:val="0"/>
      <w:marRight w:val="0"/>
      <w:marTop w:val="0"/>
      <w:marBottom w:val="0"/>
      <w:divBdr>
        <w:top w:val="none" w:sz="0" w:space="0" w:color="auto"/>
        <w:left w:val="none" w:sz="0" w:space="0" w:color="auto"/>
        <w:bottom w:val="none" w:sz="0" w:space="0" w:color="auto"/>
        <w:right w:val="none" w:sz="0" w:space="0" w:color="auto"/>
      </w:divBdr>
    </w:div>
    <w:div w:id="17895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Mendiate</dc:creator>
  <cp:keywords/>
  <dc:description/>
  <cp:lastModifiedBy>Viola Sawere</cp:lastModifiedBy>
  <cp:revision>3</cp:revision>
  <cp:lastPrinted>2023-06-22T14:30:00Z</cp:lastPrinted>
  <dcterms:created xsi:type="dcterms:W3CDTF">2023-06-23T09:21:00Z</dcterms:created>
  <dcterms:modified xsi:type="dcterms:W3CDTF">2023-10-13T14:32:00Z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2023-06-16T10:36:24Z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7ac5d625-a343-4b37-8efb-c2db48a93afd</vt:lpwstr>
  </property>
  <property fmtid="{D5CDD505-2E9C-101B-9397-08002B2CF9AE}" pid="8" name="MSIP_Label_70d91555-27bb-46d2-9299-bbdc28766cf5_ContentBits">
    <vt:lpwstr>0</vt:lpwstr>
  </property>
</Properties>
</file>