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AD2F" w14:textId="77777777" w:rsidR="008E3046" w:rsidRDefault="008E3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  <w:lang w:val="en-ZA"/>
        </w:rPr>
      </w:pPr>
    </w:p>
    <w:p w14:paraId="4D00DA3C" w14:textId="77777777" w:rsidR="0019012A" w:rsidRDefault="0046701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1991E" wp14:editId="649C1DFD">
                <wp:simplePos x="0" y="0"/>
                <wp:positionH relativeFrom="page">
                  <wp:posOffset>2386965</wp:posOffset>
                </wp:positionH>
                <wp:positionV relativeFrom="page">
                  <wp:posOffset>201930</wp:posOffset>
                </wp:positionV>
                <wp:extent cx="6069330" cy="543560"/>
                <wp:effectExtent l="0" t="0" r="0" b="0"/>
                <wp:wrapNone/>
                <wp:docPr id="5811809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933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A7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" filled="f" strok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76A1F" wp14:editId="6CEF0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02674439" name="DeepLBoxSPIDType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A902" id="DeepLBoxSPIDType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">
                <v:path arrowok="t"/>
              </v:shape>
            </w:pict>
          </mc:Fallback>
        </mc:AlternateContent>
      </w:r>
    </w:p>
    <w:p w14:paraId="34C11ADF" w14:textId="77777777" w:rsidR="00001F93" w:rsidRPr="00F101A0" w:rsidRDefault="00895CA3" w:rsidP="000953A4">
      <w:pPr>
        <w:spacing w:after="0" w:line="312" w:lineRule="auto"/>
        <w:jc w:val="center"/>
        <w:rPr>
          <w:rFonts w:ascii="Arial" w:hAnsi="Arial" w:cs="Arial"/>
          <w:b/>
          <w:kern w:val="0"/>
          <w:sz w:val="24"/>
          <w:szCs w:val="24"/>
          <w:lang w:val="en-ZA"/>
        </w:rPr>
      </w:pPr>
      <w:r w:rsidRPr="00895CA3">
        <w:rPr>
          <w:rFonts w:ascii="Arial" w:hAnsi="Arial" w:cs="Arial"/>
          <w:noProof/>
          <w:kern w:val="0"/>
          <w:sz w:val="24"/>
          <w:szCs w:val="24"/>
          <w:lang w:val="en-US"/>
        </w:rPr>
        <w:drawing>
          <wp:inline distT="0" distB="0" distL="0" distR="0" wp14:anchorId="27FBB4C4" wp14:editId="7E528AE8">
            <wp:extent cx="1043940" cy="983615"/>
            <wp:effectExtent l="0" t="0" r="0" b="0"/>
            <wp:docPr id="1" name="Picture 1" descr="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0A624" w14:textId="77777777" w:rsidR="0019012A" w:rsidRPr="00D01E89" w:rsidRDefault="00895CA3">
      <w:pPr>
        <w:spacing w:after="0" w:line="312" w:lineRule="auto"/>
        <w:jc w:val="center"/>
        <w:rPr>
          <w:rFonts w:ascii="Arial" w:hAnsi="Arial" w:cs="Arial"/>
          <w:caps/>
          <w:sz w:val="24"/>
          <w:szCs w:val="24"/>
          <w:lang w:val="pt-BR"/>
        </w:rPr>
      </w:pPr>
      <w:r w:rsidRP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 xml:space="preserve">FÓRUM DE NEGOCIAÇÃO COMERCIAL </w:t>
      </w:r>
      <w:r w:rsidR="00FF2C18" w:rsidRP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>-</w:t>
      </w:r>
      <w:r w:rsid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 xml:space="preserve"> Serviços</w:t>
      </w:r>
    </w:p>
    <w:p w14:paraId="386297B5" w14:textId="55A1C087" w:rsidR="0019012A" w:rsidRPr="00D01E89" w:rsidRDefault="008176CE">
      <w:pPr>
        <w:spacing w:after="0" w:line="312" w:lineRule="auto"/>
        <w:jc w:val="center"/>
        <w:rPr>
          <w:rFonts w:ascii="Arial" w:hAnsi="Arial" w:cs="Arial"/>
          <w:caps/>
          <w:sz w:val="24"/>
          <w:szCs w:val="24"/>
          <w:lang w:val="pt-BR"/>
        </w:rPr>
      </w:pPr>
      <w:r>
        <w:rPr>
          <w:rFonts w:ascii="Arial" w:hAnsi="Arial" w:cs="Arial"/>
          <w:b/>
          <w:caps/>
          <w:kern w:val="0"/>
          <w:sz w:val="24"/>
          <w:szCs w:val="24"/>
          <w:lang w:val="pt-BR"/>
        </w:rPr>
        <w:t xml:space="preserve">DirectivaS </w:t>
      </w:r>
      <w:r w:rsidR="00D01E89" w:rsidRP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>para o Desenvolvimento de Acordos de Reconhecimento Mútuo</w:t>
      </w:r>
      <w:r w:rsid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 xml:space="preserve"> DA SADC</w:t>
      </w:r>
      <w:r w:rsidR="00D01E89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D01E89" w:rsidRP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>para Serviços Profissionais</w:t>
      </w:r>
    </w:p>
    <w:p w14:paraId="3962D27F" w14:textId="77777777" w:rsidR="00D01E89" w:rsidRDefault="00895CA3" w:rsidP="00D01E89">
      <w:pPr>
        <w:spacing w:after="0" w:line="312" w:lineRule="auto"/>
        <w:ind w:left="1843" w:right="1821"/>
        <w:jc w:val="center"/>
        <w:rPr>
          <w:rFonts w:ascii="Arial" w:hAnsi="Arial" w:cs="Arial"/>
          <w:b/>
          <w:caps/>
          <w:kern w:val="0"/>
          <w:sz w:val="24"/>
          <w:szCs w:val="24"/>
          <w:lang w:val="pt-BR"/>
        </w:rPr>
      </w:pPr>
      <w:r w:rsidRP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>Segunda SESSÃO DEDICADA</w:t>
      </w:r>
      <w:r w:rsid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>, r</w:t>
      </w:r>
      <w:r w:rsidR="00461A03" w:rsidRP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 xml:space="preserve">ealizada </w:t>
      </w:r>
    </w:p>
    <w:p w14:paraId="1F322084" w14:textId="77777777" w:rsidR="0019012A" w:rsidRPr="00D01E89" w:rsidRDefault="004C6578">
      <w:pPr>
        <w:spacing w:after="0" w:line="312" w:lineRule="auto"/>
        <w:ind w:left="2180" w:right="2176"/>
        <w:jc w:val="center"/>
        <w:rPr>
          <w:rFonts w:ascii="Arial" w:hAnsi="Arial" w:cs="Arial"/>
          <w:b/>
          <w:caps/>
          <w:kern w:val="0"/>
          <w:sz w:val="24"/>
          <w:szCs w:val="24"/>
          <w:lang w:val="pt-BR"/>
        </w:rPr>
      </w:pPr>
      <w:r>
        <w:rPr>
          <w:rFonts w:ascii="Arial" w:hAnsi="Arial" w:cs="Arial"/>
          <w:b/>
          <w:caps/>
          <w:kern w:val="0"/>
          <w:sz w:val="24"/>
          <w:szCs w:val="24"/>
          <w:lang w:val="pt-BR"/>
        </w:rPr>
        <w:t xml:space="preserve">EM MODO </w:t>
      </w:r>
      <w:r w:rsidR="00F8695E" w:rsidRP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 xml:space="preserve">virtual </w:t>
      </w:r>
      <w:r>
        <w:rPr>
          <w:rFonts w:ascii="Arial" w:hAnsi="Arial" w:cs="Arial"/>
          <w:b/>
          <w:caps/>
          <w:kern w:val="0"/>
          <w:sz w:val="24"/>
          <w:szCs w:val="24"/>
          <w:lang w:val="pt-BR"/>
        </w:rPr>
        <w:t>AOS</w:t>
      </w:r>
      <w:r w:rsidR="00461A03" w:rsidRP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 xml:space="preserve"> </w:t>
      </w:r>
      <w:r w:rsid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>29 de maio de</w:t>
      </w:r>
      <w:r w:rsidR="00461A03" w:rsidRPr="00D01E89">
        <w:rPr>
          <w:rFonts w:ascii="Arial" w:hAnsi="Arial" w:cs="Arial"/>
          <w:b/>
          <w:caps/>
          <w:kern w:val="0"/>
          <w:sz w:val="24"/>
          <w:szCs w:val="24"/>
          <w:lang w:val="pt-BR"/>
        </w:rPr>
        <w:t xml:space="preserve"> 2023</w:t>
      </w:r>
    </w:p>
    <w:p w14:paraId="61161B47" w14:textId="77777777" w:rsidR="0019012A" w:rsidRDefault="00895CA3">
      <w:pPr>
        <w:spacing w:after="0" w:line="312" w:lineRule="auto"/>
        <w:ind w:left="2180" w:right="2176"/>
        <w:jc w:val="center"/>
        <w:rPr>
          <w:rFonts w:ascii="Arial" w:hAnsi="Arial" w:cs="Arial"/>
          <w:caps/>
          <w:sz w:val="24"/>
          <w:szCs w:val="24"/>
        </w:rPr>
      </w:pPr>
      <w:r w:rsidRPr="00F101A0">
        <w:rPr>
          <w:rFonts w:ascii="Arial" w:hAnsi="Arial" w:cs="Arial"/>
          <w:b/>
          <w:caps/>
          <w:kern w:val="0"/>
          <w:sz w:val="24"/>
          <w:szCs w:val="24"/>
          <w:lang w:val="en-ZA"/>
        </w:rPr>
        <w:t>RELATÓRIO</w:t>
      </w:r>
    </w:p>
    <w:p w14:paraId="28215CE5" w14:textId="77777777" w:rsidR="0019012A" w:rsidRDefault="0046701A">
      <w:pPr>
        <w:spacing w:after="0" w:line="312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A7DFF7" wp14:editId="2647DFF9">
                <wp:simplePos x="0" y="0"/>
                <wp:positionH relativeFrom="column">
                  <wp:posOffset>12700</wp:posOffset>
                </wp:positionH>
                <wp:positionV relativeFrom="paragraph">
                  <wp:posOffset>97789</wp:posOffset>
                </wp:positionV>
                <wp:extent cx="5873750" cy="0"/>
                <wp:effectExtent l="0" t="12700" r="6350" b="0"/>
                <wp:wrapNone/>
                <wp:docPr id="64884834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1017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pt,7.7pt" to="463.5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&#13;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22F57876" w14:textId="77777777" w:rsidR="00F82DBC" w:rsidRPr="00F101A0" w:rsidRDefault="00F82DBC" w:rsidP="000953A4">
      <w:pPr>
        <w:pStyle w:val="PlainText"/>
        <w:spacing w:line="312" w:lineRule="auto"/>
        <w:rPr>
          <w:rFonts w:ascii="Arial" w:hAnsi="Arial" w:cs="Arial"/>
          <w:caps/>
          <w:sz w:val="24"/>
          <w:szCs w:val="24"/>
        </w:rPr>
      </w:pPr>
    </w:p>
    <w:p w14:paraId="3E1B1458" w14:textId="77777777" w:rsidR="0019012A" w:rsidRDefault="00895CA3">
      <w:pPr>
        <w:pStyle w:val="ListParagraph"/>
        <w:numPr>
          <w:ilvl w:val="0"/>
          <w:numId w:val="1"/>
        </w:numPr>
        <w:spacing w:after="0" w:line="312" w:lineRule="auto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F101A0">
        <w:rPr>
          <w:rFonts w:ascii="Arial" w:hAnsi="Arial" w:cs="Arial"/>
          <w:b/>
          <w:bCs/>
          <w:sz w:val="24"/>
          <w:szCs w:val="24"/>
        </w:rPr>
        <w:t xml:space="preserve">OBSERVAÇÕES </w:t>
      </w:r>
      <w:r w:rsidR="00D01E89">
        <w:rPr>
          <w:rFonts w:ascii="Arial" w:hAnsi="Arial" w:cs="Arial"/>
          <w:b/>
          <w:bCs/>
          <w:sz w:val="24"/>
          <w:szCs w:val="24"/>
        </w:rPr>
        <w:t>DE ABERTURA</w:t>
      </w:r>
    </w:p>
    <w:p w14:paraId="2FE846C4" w14:textId="77777777" w:rsidR="00F82DBC" w:rsidRPr="00F101A0" w:rsidRDefault="00F82DBC" w:rsidP="000953A4">
      <w:pPr>
        <w:pStyle w:val="ListParagraph"/>
        <w:tabs>
          <w:tab w:val="left" w:pos="1170"/>
        </w:tabs>
        <w:spacing w:after="0" w:line="312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CEF9C06" w14:textId="723B8AAB" w:rsidR="0019012A" w:rsidRPr="00D01E89" w:rsidRDefault="00895CA3">
      <w:pPr>
        <w:pStyle w:val="ListParagraph"/>
        <w:numPr>
          <w:ilvl w:val="1"/>
          <w:numId w:val="1"/>
        </w:numPr>
        <w:tabs>
          <w:tab w:val="left" w:pos="1170"/>
        </w:tabs>
        <w:spacing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A segunda sessão específica do Fórum de Negociação Comercial - Serviços </w:t>
      </w:r>
      <w:r w:rsidR="00855387" w:rsidRPr="00D01E89">
        <w:rPr>
          <w:rFonts w:ascii="Arial" w:hAnsi="Arial" w:cs="Arial"/>
          <w:sz w:val="24"/>
          <w:szCs w:val="24"/>
          <w:lang w:val="pt-BR"/>
        </w:rPr>
        <w:t xml:space="preserve">(TNF-Serviços)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sobre </w:t>
      </w:r>
      <w:r w:rsidR="00855387" w:rsidRPr="00D01E89">
        <w:rPr>
          <w:rFonts w:ascii="Arial" w:hAnsi="Arial" w:cs="Arial"/>
          <w:sz w:val="24"/>
          <w:szCs w:val="24"/>
          <w:lang w:val="pt-BR"/>
        </w:rPr>
        <w:t xml:space="preserve">as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855387" w:rsidRPr="00D01E89">
        <w:rPr>
          <w:rFonts w:ascii="Arial" w:hAnsi="Arial" w:cs="Arial"/>
          <w:sz w:val="24"/>
          <w:szCs w:val="24"/>
          <w:lang w:val="pt-BR"/>
        </w:rPr>
        <w:t xml:space="preserve"> para o Desenvolvimento de Acordos de Reconhecimento Mútuo (</w:t>
      </w:r>
      <w:r w:rsidR="00D01E89">
        <w:rPr>
          <w:rFonts w:ascii="Arial" w:hAnsi="Arial" w:cs="Arial"/>
          <w:sz w:val="24"/>
          <w:szCs w:val="24"/>
          <w:lang w:val="pt-BR"/>
        </w:rPr>
        <w:t>MRA</w:t>
      </w:r>
      <w:r w:rsidR="00855387" w:rsidRPr="00D01E89">
        <w:rPr>
          <w:rFonts w:ascii="Arial" w:hAnsi="Arial" w:cs="Arial"/>
          <w:sz w:val="24"/>
          <w:szCs w:val="24"/>
          <w:lang w:val="pt-BR"/>
        </w:rPr>
        <w:t xml:space="preserve">) </w:t>
      </w:r>
      <w:r w:rsidR="00880CA6" w:rsidRPr="00D01E89">
        <w:rPr>
          <w:rFonts w:ascii="Arial" w:hAnsi="Arial" w:cs="Arial"/>
          <w:sz w:val="24"/>
          <w:szCs w:val="24"/>
          <w:lang w:val="pt-BR"/>
        </w:rPr>
        <w:t xml:space="preserve">da SADC </w:t>
      </w:r>
      <w:bookmarkStart w:id="0" w:name="_Hlk138666290"/>
      <w:r w:rsidR="00855387" w:rsidRPr="00D01E89">
        <w:rPr>
          <w:rFonts w:ascii="Arial" w:hAnsi="Arial" w:cs="Arial"/>
          <w:sz w:val="24"/>
          <w:szCs w:val="24"/>
          <w:lang w:val="pt-BR"/>
        </w:rPr>
        <w:t xml:space="preserve">para Serviços Profissionais </w:t>
      </w:r>
      <w:bookmarkEnd w:id="0"/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("as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") </w:t>
      </w:r>
      <w:r w:rsidR="00855387" w:rsidRPr="00D01E89">
        <w:rPr>
          <w:rFonts w:ascii="Arial" w:hAnsi="Arial" w:cs="Arial"/>
          <w:sz w:val="24"/>
          <w:szCs w:val="24"/>
          <w:lang w:val="pt-BR"/>
        </w:rPr>
        <w:t xml:space="preserve">foi realizada </w:t>
      </w:r>
      <w:r w:rsidR="004C6578">
        <w:rPr>
          <w:rFonts w:ascii="Arial" w:hAnsi="Arial" w:cs="Arial"/>
          <w:sz w:val="24"/>
          <w:szCs w:val="24"/>
          <w:lang w:val="pt-BR"/>
        </w:rPr>
        <w:t xml:space="preserve">de modo virtual aos </w:t>
      </w:r>
      <w:r w:rsidR="00855387" w:rsidRPr="00D01E89">
        <w:rPr>
          <w:rFonts w:ascii="Arial" w:hAnsi="Arial" w:cs="Arial"/>
          <w:sz w:val="24"/>
          <w:szCs w:val="24"/>
          <w:lang w:val="pt-BR"/>
        </w:rPr>
        <w:t xml:space="preserve">29 de </w:t>
      </w:r>
      <w:r w:rsidR="00AC248C">
        <w:rPr>
          <w:rFonts w:ascii="Arial" w:hAnsi="Arial" w:cs="Arial"/>
          <w:sz w:val="24"/>
          <w:szCs w:val="24"/>
          <w:lang w:val="pt-BR"/>
        </w:rPr>
        <w:t>M</w:t>
      </w:r>
      <w:r w:rsidR="00855387" w:rsidRPr="00D01E89">
        <w:rPr>
          <w:rFonts w:ascii="Arial" w:hAnsi="Arial" w:cs="Arial"/>
          <w:sz w:val="24"/>
          <w:szCs w:val="24"/>
          <w:lang w:val="pt-BR"/>
        </w:rPr>
        <w:t xml:space="preserve">aio de 2023. </w:t>
      </w:r>
      <w:r w:rsidR="00EE6C20" w:rsidRPr="00D01E89">
        <w:rPr>
          <w:rFonts w:ascii="Arial" w:hAnsi="Arial" w:cs="Arial"/>
          <w:sz w:val="24"/>
          <w:szCs w:val="24"/>
          <w:lang w:val="pt-BR"/>
        </w:rPr>
        <w:t>O obje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EE6C20" w:rsidRPr="00D01E89">
        <w:rPr>
          <w:rFonts w:ascii="Arial" w:hAnsi="Arial" w:cs="Arial"/>
          <w:sz w:val="24"/>
          <w:szCs w:val="24"/>
          <w:lang w:val="pt-BR"/>
        </w:rPr>
        <w:t xml:space="preserve">tivo da </w:t>
      </w:r>
      <w:r w:rsidR="00134770" w:rsidRPr="00D01E89">
        <w:rPr>
          <w:rFonts w:ascii="Arial" w:hAnsi="Arial" w:cs="Arial"/>
          <w:sz w:val="24"/>
          <w:szCs w:val="24"/>
          <w:lang w:val="pt-BR"/>
        </w:rPr>
        <w:t xml:space="preserve">sessão </w:t>
      </w:r>
      <w:r w:rsidR="00EE6C20" w:rsidRPr="00D01E89">
        <w:rPr>
          <w:rFonts w:ascii="Arial" w:hAnsi="Arial" w:cs="Arial"/>
          <w:sz w:val="24"/>
          <w:szCs w:val="24"/>
          <w:lang w:val="pt-BR"/>
        </w:rPr>
        <w:t xml:space="preserve">era </w:t>
      </w:r>
      <w:r w:rsidR="00607FA8" w:rsidRPr="00D01E89">
        <w:rPr>
          <w:rFonts w:ascii="Arial" w:hAnsi="Arial" w:cs="Arial"/>
          <w:sz w:val="24"/>
          <w:szCs w:val="24"/>
          <w:lang w:val="pt-BR"/>
        </w:rPr>
        <w:t xml:space="preserve">fazer </w:t>
      </w:r>
      <w:r w:rsidR="008E1500" w:rsidRPr="00D01E89">
        <w:rPr>
          <w:rFonts w:ascii="Arial" w:hAnsi="Arial" w:cs="Arial"/>
          <w:sz w:val="24"/>
          <w:szCs w:val="24"/>
          <w:lang w:val="pt-BR"/>
        </w:rPr>
        <w:t xml:space="preserve">o balanço dos resultados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da </w:t>
      </w:r>
      <w:r w:rsidR="00EE6C20" w:rsidRPr="00D01E89">
        <w:rPr>
          <w:rFonts w:ascii="Arial" w:hAnsi="Arial" w:cs="Arial"/>
          <w:sz w:val="24"/>
          <w:szCs w:val="24"/>
          <w:lang w:val="pt-BR"/>
        </w:rPr>
        <w:t xml:space="preserve">primeira </w:t>
      </w:r>
      <w:r w:rsidR="00536C24" w:rsidRPr="00D01E89">
        <w:rPr>
          <w:rFonts w:ascii="Arial" w:hAnsi="Arial" w:cs="Arial"/>
          <w:sz w:val="24"/>
          <w:szCs w:val="24"/>
          <w:lang w:val="pt-BR"/>
        </w:rPr>
        <w:t>sessão específica</w:t>
      </w:r>
      <w:r w:rsidR="00EE6C20" w:rsidRPr="00D01E89">
        <w:rPr>
          <w:rFonts w:ascii="Arial" w:hAnsi="Arial" w:cs="Arial"/>
          <w:sz w:val="24"/>
          <w:szCs w:val="24"/>
          <w:lang w:val="pt-BR"/>
        </w:rPr>
        <w:t xml:space="preserve">, realizada </w:t>
      </w:r>
      <w:r w:rsidR="00536C24" w:rsidRPr="00D01E89">
        <w:rPr>
          <w:rFonts w:ascii="Arial" w:hAnsi="Arial" w:cs="Arial"/>
          <w:sz w:val="24"/>
          <w:szCs w:val="24"/>
          <w:lang w:val="pt-BR"/>
        </w:rPr>
        <w:t xml:space="preserve">virtualmente </w:t>
      </w:r>
      <w:r w:rsidR="00EE6C20" w:rsidRPr="00D01E89">
        <w:rPr>
          <w:rFonts w:ascii="Arial" w:hAnsi="Arial" w:cs="Arial"/>
          <w:sz w:val="24"/>
          <w:szCs w:val="24"/>
          <w:lang w:val="pt-BR"/>
        </w:rPr>
        <w:t xml:space="preserve">em 10 de </w:t>
      </w:r>
      <w:r w:rsidR="00D01E89">
        <w:rPr>
          <w:rFonts w:ascii="Arial" w:hAnsi="Arial" w:cs="Arial"/>
          <w:sz w:val="24"/>
          <w:szCs w:val="24"/>
          <w:lang w:val="pt-BR"/>
        </w:rPr>
        <w:t>M</w:t>
      </w:r>
      <w:r w:rsidR="00EE6C20" w:rsidRPr="00D01E89">
        <w:rPr>
          <w:rFonts w:ascii="Arial" w:hAnsi="Arial" w:cs="Arial"/>
          <w:sz w:val="24"/>
          <w:szCs w:val="24"/>
          <w:lang w:val="pt-BR"/>
        </w:rPr>
        <w:t>aio de 2023</w:t>
      </w:r>
      <w:r w:rsidR="008E1500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880CA6" w:rsidRPr="00D01E89">
        <w:rPr>
          <w:rFonts w:ascii="Arial" w:hAnsi="Arial" w:cs="Arial"/>
          <w:sz w:val="24"/>
          <w:szCs w:val="24"/>
          <w:lang w:val="pt-BR"/>
        </w:rPr>
        <w:t xml:space="preserve">considerar as </w:t>
      </w:r>
      <w:r w:rsidR="0046629F" w:rsidRPr="00D01E89">
        <w:rPr>
          <w:rFonts w:ascii="Arial" w:hAnsi="Arial" w:cs="Arial"/>
          <w:sz w:val="24"/>
          <w:szCs w:val="24"/>
          <w:lang w:val="pt-BR"/>
        </w:rPr>
        <w:t xml:space="preserve">questões </w:t>
      </w:r>
      <w:r w:rsidR="003E1DF3" w:rsidRPr="00D01E89">
        <w:rPr>
          <w:rFonts w:ascii="Arial" w:hAnsi="Arial" w:cs="Arial"/>
          <w:sz w:val="24"/>
          <w:szCs w:val="24"/>
          <w:lang w:val="pt-BR"/>
        </w:rPr>
        <w:t xml:space="preserve">pendentes </w:t>
      </w:r>
      <w:r w:rsidR="00880CA6" w:rsidRPr="00D01E89">
        <w:rPr>
          <w:rFonts w:ascii="Arial" w:hAnsi="Arial" w:cs="Arial"/>
          <w:sz w:val="24"/>
          <w:szCs w:val="24"/>
          <w:lang w:val="pt-BR"/>
        </w:rPr>
        <w:t xml:space="preserve">e finalizar </w:t>
      </w:r>
      <w:r w:rsidR="00FA1E7C" w:rsidRPr="00D01E89">
        <w:rPr>
          <w:rFonts w:ascii="Arial" w:hAnsi="Arial" w:cs="Arial"/>
          <w:sz w:val="24"/>
          <w:szCs w:val="24"/>
          <w:lang w:val="pt-BR"/>
        </w:rPr>
        <w:t>o 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FA1E7C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EE6C20" w:rsidRPr="00D01E89">
        <w:rPr>
          <w:rFonts w:ascii="Arial" w:hAnsi="Arial" w:cs="Arial"/>
          <w:sz w:val="24"/>
          <w:szCs w:val="24"/>
          <w:lang w:val="pt-BR"/>
        </w:rPr>
        <w:t>.</w:t>
      </w:r>
    </w:p>
    <w:p w14:paraId="0F4195AF" w14:textId="77777777" w:rsidR="00612974" w:rsidRPr="00D01E89" w:rsidRDefault="00612974" w:rsidP="000953A4">
      <w:pPr>
        <w:pStyle w:val="ListParagraph"/>
        <w:tabs>
          <w:tab w:val="left" w:pos="1170"/>
        </w:tabs>
        <w:spacing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</w:p>
    <w:p w14:paraId="621805A8" w14:textId="77777777" w:rsidR="0019012A" w:rsidRPr="00D01E89" w:rsidRDefault="00895CA3">
      <w:pPr>
        <w:pStyle w:val="ListParagraph"/>
        <w:numPr>
          <w:ilvl w:val="1"/>
          <w:numId w:val="1"/>
        </w:numPr>
        <w:tabs>
          <w:tab w:val="left" w:pos="1170"/>
        </w:tabs>
        <w:spacing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Na ausência dos </w:t>
      </w:r>
      <w:r w:rsidR="00AD6F38" w:rsidRPr="00D01E89">
        <w:rPr>
          <w:rFonts w:ascii="Arial" w:hAnsi="Arial" w:cs="Arial"/>
          <w:sz w:val="24"/>
          <w:szCs w:val="24"/>
          <w:lang w:val="pt-BR"/>
        </w:rPr>
        <w:t xml:space="preserve">representantes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do Presidente </w:t>
      </w:r>
      <w:r w:rsidR="00AD6F38" w:rsidRPr="00D01E89">
        <w:rPr>
          <w:rFonts w:ascii="Arial" w:hAnsi="Arial" w:cs="Arial"/>
          <w:sz w:val="24"/>
          <w:szCs w:val="24"/>
          <w:lang w:val="pt-BR"/>
        </w:rPr>
        <w:t xml:space="preserve">e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do </w:t>
      </w:r>
      <w:r w:rsidR="002A7994" w:rsidRPr="00D01E89">
        <w:rPr>
          <w:rFonts w:ascii="Arial" w:hAnsi="Arial" w:cs="Arial"/>
          <w:sz w:val="24"/>
          <w:szCs w:val="24"/>
          <w:lang w:val="pt-BR"/>
        </w:rPr>
        <w:t xml:space="preserve">Vice-Presidente da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SADC </w:t>
      </w:r>
      <w:r w:rsidR="00AD6F38" w:rsidRPr="00D01E89">
        <w:rPr>
          <w:rFonts w:ascii="Arial" w:hAnsi="Arial" w:cs="Arial"/>
          <w:sz w:val="24"/>
          <w:szCs w:val="24"/>
          <w:lang w:val="pt-BR"/>
        </w:rPr>
        <w:t>(República Democrática do Congo e Angola)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, a reunião solicitou ao </w:t>
      </w:r>
      <w:r w:rsidR="002A7994" w:rsidRPr="00D01E89">
        <w:rPr>
          <w:rFonts w:ascii="Arial" w:hAnsi="Arial" w:cs="Arial"/>
          <w:sz w:val="24"/>
          <w:szCs w:val="24"/>
          <w:lang w:val="pt-BR"/>
        </w:rPr>
        <w:t>Malawi (</w:t>
      </w:r>
      <w:r w:rsidR="00FD1035" w:rsidRPr="00D01E89">
        <w:rPr>
          <w:rFonts w:ascii="Arial" w:hAnsi="Arial" w:cs="Arial"/>
          <w:sz w:val="24"/>
          <w:szCs w:val="24"/>
          <w:lang w:val="pt-BR"/>
        </w:rPr>
        <w:t xml:space="preserve">o </w:t>
      </w:r>
      <w:r w:rsidR="00D01E89">
        <w:rPr>
          <w:rFonts w:ascii="Arial" w:hAnsi="Arial" w:cs="Arial"/>
          <w:sz w:val="24"/>
          <w:szCs w:val="24"/>
          <w:lang w:val="pt-BR"/>
        </w:rPr>
        <w:t>Presidente</w:t>
      </w:r>
      <w:r w:rsidR="002A7994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FD1035" w:rsidRPr="00D01E89">
        <w:rPr>
          <w:rFonts w:ascii="Arial" w:hAnsi="Arial" w:cs="Arial"/>
          <w:sz w:val="24"/>
          <w:szCs w:val="24"/>
          <w:lang w:val="pt-BR"/>
        </w:rPr>
        <w:t xml:space="preserve">da </w:t>
      </w:r>
      <w:r w:rsidR="002D133A" w:rsidRPr="00D01E89">
        <w:rPr>
          <w:rFonts w:ascii="Arial" w:hAnsi="Arial" w:cs="Arial"/>
          <w:sz w:val="24"/>
          <w:szCs w:val="24"/>
          <w:lang w:val="pt-BR"/>
        </w:rPr>
        <w:t xml:space="preserve">Troika da </w:t>
      </w:r>
      <w:r w:rsidR="00FD1035" w:rsidRPr="00D01E89">
        <w:rPr>
          <w:rFonts w:ascii="Arial" w:hAnsi="Arial" w:cs="Arial"/>
          <w:sz w:val="24"/>
          <w:szCs w:val="24"/>
          <w:lang w:val="pt-BR"/>
        </w:rPr>
        <w:t xml:space="preserve">SADC </w:t>
      </w:r>
      <w:r w:rsidR="002D133A" w:rsidRPr="00D01E89">
        <w:rPr>
          <w:rFonts w:ascii="Arial" w:hAnsi="Arial" w:cs="Arial"/>
          <w:sz w:val="24"/>
          <w:szCs w:val="24"/>
          <w:lang w:val="pt-BR"/>
        </w:rPr>
        <w:t>da Cimeira</w:t>
      </w:r>
      <w:r w:rsidR="002A7994" w:rsidRPr="00D01E89">
        <w:rPr>
          <w:rFonts w:ascii="Arial" w:hAnsi="Arial" w:cs="Arial"/>
          <w:sz w:val="24"/>
          <w:szCs w:val="24"/>
          <w:lang w:val="pt-BR"/>
        </w:rPr>
        <w:t xml:space="preserve">) </w:t>
      </w:r>
      <w:r w:rsidRPr="00D01E89">
        <w:rPr>
          <w:rFonts w:ascii="Arial" w:hAnsi="Arial" w:cs="Arial"/>
          <w:sz w:val="24"/>
          <w:szCs w:val="24"/>
          <w:lang w:val="pt-BR"/>
        </w:rPr>
        <w:t>que presidisse às deliberações. O Sr</w:t>
      </w:r>
      <w:r w:rsidR="002A7994" w:rsidRPr="00D01E89">
        <w:rPr>
          <w:rFonts w:ascii="Arial" w:hAnsi="Arial" w:cs="Arial"/>
          <w:sz w:val="24"/>
          <w:szCs w:val="24"/>
          <w:lang w:val="pt-BR"/>
        </w:rPr>
        <w:t>. Ezron Chirambo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541489" w:rsidRPr="00D01E89">
        <w:rPr>
          <w:rFonts w:ascii="Arial" w:hAnsi="Arial" w:cs="Arial"/>
          <w:sz w:val="24"/>
          <w:szCs w:val="24"/>
          <w:lang w:val="pt-BR"/>
        </w:rPr>
        <w:t xml:space="preserve">responsável </w:t>
      </w:r>
      <w:r w:rsidR="00877CDA" w:rsidRPr="00D01E89">
        <w:rPr>
          <w:rFonts w:ascii="Arial" w:hAnsi="Arial" w:cs="Arial"/>
          <w:sz w:val="24"/>
          <w:szCs w:val="24"/>
          <w:lang w:val="pt-BR"/>
        </w:rPr>
        <w:t xml:space="preserve">pelo </w:t>
      </w:r>
      <w:r w:rsidR="00D01E89">
        <w:rPr>
          <w:rFonts w:ascii="Arial" w:hAnsi="Arial" w:cs="Arial"/>
          <w:sz w:val="24"/>
          <w:szCs w:val="24"/>
          <w:lang w:val="pt-BR"/>
        </w:rPr>
        <w:t>C</w:t>
      </w:r>
      <w:r w:rsidR="00877CDA" w:rsidRPr="00D01E89">
        <w:rPr>
          <w:rFonts w:ascii="Arial" w:hAnsi="Arial" w:cs="Arial"/>
          <w:sz w:val="24"/>
          <w:szCs w:val="24"/>
          <w:lang w:val="pt-BR"/>
        </w:rPr>
        <w:t xml:space="preserve">omércio de </w:t>
      </w:r>
      <w:r w:rsidR="00D01E89">
        <w:rPr>
          <w:rFonts w:ascii="Arial" w:hAnsi="Arial" w:cs="Arial"/>
          <w:sz w:val="24"/>
          <w:szCs w:val="24"/>
          <w:lang w:val="pt-BR"/>
        </w:rPr>
        <w:t>S</w:t>
      </w:r>
      <w:r w:rsidR="00877CDA" w:rsidRPr="00D01E89">
        <w:rPr>
          <w:rFonts w:ascii="Arial" w:hAnsi="Arial" w:cs="Arial"/>
          <w:sz w:val="24"/>
          <w:szCs w:val="24"/>
          <w:lang w:val="pt-BR"/>
        </w:rPr>
        <w:t xml:space="preserve">erviços da SADC no Ministério do Comércio e da Indústria do </w:t>
      </w:r>
      <w:r w:rsidR="00FB2B21" w:rsidRPr="00D01E89">
        <w:rPr>
          <w:rFonts w:ascii="Arial" w:hAnsi="Arial" w:cs="Arial"/>
          <w:sz w:val="24"/>
          <w:szCs w:val="24"/>
          <w:lang w:val="pt-BR"/>
        </w:rPr>
        <w:t>Malawi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presidiu </w:t>
      </w:r>
      <w:r w:rsidR="00461A03" w:rsidRPr="00D01E89">
        <w:rPr>
          <w:rFonts w:ascii="Arial" w:hAnsi="Arial" w:cs="Arial"/>
          <w:sz w:val="24"/>
          <w:szCs w:val="24"/>
          <w:lang w:val="pt-BR"/>
        </w:rPr>
        <w:t xml:space="preserve">à </w:t>
      </w:r>
      <w:r w:rsidR="008A3BE8" w:rsidRPr="00D01E89">
        <w:rPr>
          <w:rFonts w:ascii="Arial" w:hAnsi="Arial" w:cs="Arial"/>
          <w:sz w:val="24"/>
          <w:szCs w:val="24"/>
          <w:lang w:val="pt-BR"/>
        </w:rPr>
        <w:t>reunião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4E9DE8E1" w14:textId="77777777" w:rsidR="00BB3711" w:rsidRPr="00D01E89" w:rsidRDefault="00BB3711" w:rsidP="000953A4">
      <w:pPr>
        <w:pStyle w:val="ListParagraph"/>
        <w:spacing w:after="0" w:line="312" w:lineRule="auto"/>
        <w:rPr>
          <w:rFonts w:ascii="Arial" w:hAnsi="Arial" w:cs="Arial"/>
          <w:sz w:val="24"/>
          <w:szCs w:val="24"/>
          <w:lang w:val="pt-BR"/>
        </w:rPr>
      </w:pPr>
    </w:p>
    <w:p w14:paraId="1AFBDA54" w14:textId="4F1860C2" w:rsidR="0019012A" w:rsidRPr="00D01E89" w:rsidRDefault="00895CA3">
      <w:pPr>
        <w:pStyle w:val="ListParagraph"/>
        <w:numPr>
          <w:ilvl w:val="1"/>
          <w:numId w:val="1"/>
        </w:numPr>
        <w:tabs>
          <w:tab w:val="left" w:pos="1170"/>
        </w:tabs>
        <w:spacing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O Sr. </w:t>
      </w:r>
      <w:r w:rsidR="00086FB4" w:rsidRPr="00D01E89">
        <w:rPr>
          <w:rFonts w:ascii="Arial" w:hAnsi="Arial" w:cs="Arial"/>
          <w:sz w:val="24"/>
          <w:szCs w:val="24"/>
          <w:lang w:val="pt-BR"/>
        </w:rPr>
        <w:t xml:space="preserve">Chirambo </w:t>
      </w:r>
      <w:r w:rsidR="00B655A3" w:rsidRPr="00D01E89">
        <w:rPr>
          <w:rFonts w:ascii="Arial" w:hAnsi="Arial" w:cs="Arial"/>
          <w:sz w:val="24"/>
          <w:szCs w:val="24"/>
          <w:lang w:val="pt-BR"/>
        </w:rPr>
        <w:t>recordou</w:t>
      </w:r>
      <w:r w:rsidR="003A0D50" w:rsidRPr="00D01E89">
        <w:rPr>
          <w:rFonts w:ascii="Arial" w:hAnsi="Arial" w:cs="Arial"/>
          <w:sz w:val="24"/>
          <w:szCs w:val="24"/>
          <w:lang w:val="pt-BR"/>
        </w:rPr>
        <w:t xml:space="preserve"> à reunião a </w:t>
      </w:r>
      <w:r w:rsidR="00B655A3" w:rsidRPr="00D01E89">
        <w:rPr>
          <w:rFonts w:ascii="Arial" w:hAnsi="Arial" w:cs="Arial"/>
          <w:sz w:val="24"/>
          <w:szCs w:val="24"/>
          <w:lang w:val="pt-BR"/>
        </w:rPr>
        <w:t xml:space="preserve">importância </w:t>
      </w:r>
      <w:r w:rsidR="003A0D50" w:rsidRPr="00D01E89">
        <w:rPr>
          <w:rFonts w:ascii="Arial" w:hAnsi="Arial" w:cs="Arial"/>
          <w:sz w:val="24"/>
          <w:szCs w:val="24"/>
          <w:lang w:val="pt-BR"/>
        </w:rPr>
        <w:t xml:space="preserve">de discutir </w:t>
      </w:r>
      <w:r w:rsidR="004F0B9E" w:rsidRPr="00D01E89">
        <w:rPr>
          <w:rFonts w:ascii="Arial" w:hAnsi="Arial" w:cs="Arial"/>
          <w:sz w:val="24"/>
          <w:szCs w:val="24"/>
          <w:lang w:val="pt-BR"/>
        </w:rPr>
        <w:t>o projet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4F0B9E" w:rsidRPr="00D01E89">
        <w:rPr>
          <w:rFonts w:ascii="Arial" w:hAnsi="Arial" w:cs="Arial"/>
          <w:sz w:val="24"/>
          <w:szCs w:val="24"/>
          <w:lang w:val="pt-BR"/>
        </w:rPr>
        <w:t>, uma vez que as negociações sobre o comércio de serviços da Zona de Comércio Livre Continental Africana (</w:t>
      </w:r>
      <w:r w:rsidR="00AC248C">
        <w:rPr>
          <w:rFonts w:ascii="Arial" w:hAnsi="Arial" w:cs="Arial"/>
          <w:sz w:val="24"/>
          <w:szCs w:val="24"/>
          <w:lang w:val="pt-BR"/>
        </w:rPr>
        <w:t>AfCFTA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) se encontravam numa fase </w:t>
      </w:r>
      <w:r w:rsidR="00B655A3" w:rsidRPr="00D01E89">
        <w:rPr>
          <w:rFonts w:ascii="Arial" w:hAnsi="Arial" w:cs="Arial"/>
          <w:sz w:val="24"/>
          <w:szCs w:val="24"/>
          <w:lang w:val="pt-BR"/>
        </w:rPr>
        <w:t xml:space="preserve">em que </w:t>
      </w:r>
      <w:r w:rsidR="00517CF7" w:rsidRPr="00D01E89">
        <w:rPr>
          <w:rFonts w:ascii="Arial" w:hAnsi="Arial" w:cs="Arial"/>
          <w:sz w:val="24"/>
          <w:szCs w:val="24"/>
          <w:lang w:val="pt-BR"/>
        </w:rPr>
        <w:t xml:space="preserve">estava </w:t>
      </w:r>
      <w:r w:rsidR="00B655A3" w:rsidRPr="00D01E89">
        <w:rPr>
          <w:rFonts w:ascii="Arial" w:hAnsi="Arial" w:cs="Arial"/>
          <w:sz w:val="24"/>
          <w:szCs w:val="24"/>
          <w:lang w:val="pt-BR"/>
        </w:rPr>
        <w:t xml:space="preserve">a ser realizado um </w:t>
      </w:r>
      <w:r w:rsidR="00517CF7" w:rsidRPr="00D01E89">
        <w:rPr>
          <w:rFonts w:ascii="Arial" w:hAnsi="Arial" w:cs="Arial"/>
          <w:sz w:val="24"/>
          <w:szCs w:val="24"/>
          <w:lang w:val="pt-BR"/>
        </w:rPr>
        <w:t>exercício semelhante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.  Ao </w:t>
      </w:r>
      <w:r w:rsidR="006B10B4" w:rsidRPr="00D01E89">
        <w:rPr>
          <w:rFonts w:ascii="Arial" w:hAnsi="Arial" w:cs="Arial"/>
          <w:sz w:val="24"/>
          <w:szCs w:val="24"/>
          <w:lang w:val="pt-BR"/>
        </w:rPr>
        <w:t>darem os seus contributos</w:t>
      </w:r>
      <w:r w:rsidR="004E01C7" w:rsidRPr="00D01E89">
        <w:rPr>
          <w:rFonts w:ascii="Arial" w:hAnsi="Arial" w:cs="Arial"/>
          <w:sz w:val="24"/>
          <w:szCs w:val="24"/>
          <w:lang w:val="pt-BR"/>
        </w:rPr>
        <w:t xml:space="preserve">, os participantes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deveriam, por conseguinte, ter em mente </w:t>
      </w:r>
      <w:r w:rsidR="00F13D8A" w:rsidRPr="00D01E89">
        <w:rPr>
          <w:rFonts w:ascii="Arial" w:hAnsi="Arial" w:cs="Arial"/>
          <w:sz w:val="24"/>
          <w:szCs w:val="24"/>
          <w:lang w:val="pt-BR"/>
        </w:rPr>
        <w:t xml:space="preserve">que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a </w:t>
      </w:r>
      <w:r w:rsidR="00F13D8A" w:rsidRPr="00D01E89">
        <w:rPr>
          <w:rFonts w:ascii="Arial" w:hAnsi="Arial" w:cs="Arial"/>
          <w:sz w:val="24"/>
          <w:szCs w:val="24"/>
          <w:lang w:val="pt-BR"/>
        </w:rPr>
        <w:t xml:space="preserve">região da SADC </w:t>
      </w:r>
      <w:r w:rsidR="004E01C7" w:rsidRPr="00D01E89">
        <w:rPr>
          <w:rFonts w:ascii="Arial" w:hAnsi="Arial" w:cs="Arial"/>
          <w:sz w:val="24"/>
          <w:szCs w:val="24"/>
          <w:lang w:val="pt-BR"/>
        </w:rPr>
        <w:t xml:space="preserve">teria de </w:t>
      </w:r>
      <w:r w:rsidR="00F13D8A" w:rsidRPr="00D01E89">
        <w:rPr>
          <w:rFonts w:ascii="Arial" w:hAnsi="Arial" w:cs="Arial"/>
          <w:sz w:val="24"/>
          <w:szCs w:val="24"/>
          <w:lang w:val="pt-BR"/>
        </w:rPr>
        <w:t xml:space="preserve">ser mais liberal </w:t>
      </w:r>
      <w:r w:rsidR="0061081F" w:rsidRPr="00D01E89">
        <w:rPr>
          <w:rFonts w:ascii="Arial" w:hAnsi="Arial" w:cs="Arial"/>
          <w:sz w:val="24"/>
          <w:szCs w:val="24"/>
          <w:lang w:val="pt-BR"/>
        </w:rPr>
        <w:t xml:space="preserve">para permitir que os prestadores de serviços trabalhassem dentro das fronteiras da região da </w:t>
      </w:r>
      <w:r w:rsidR="00536C24" w:rsidRPr="00D01E89">
        <w:rPr>
          <w:rFonts w:ascii="Arial" w:hAnsi="Arial" w:cs="Arial"/>
          <w:sz w:val="24"/>
          <w:szCs w:val="24"/>
          <w:lang w:val="pt-BR"/>
        </w:rPr>
        <w:t>SADC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4E01C7" w:rsidRPr="00D01E89">
        <w:rPr>
          <w:rFonts w:ascii="Arial" w:hAnsi="Arial" w:cs="Arial"/>
          <w:sz w:val="24"/>
          <w:szCs w:val="24"/>
          <w:lang w:val="pt-BR"/>
        </w:rPr>
        <w:t xml:space="preserve">e os debates </w:t>
      </w:r>
      <w:r w:rsidR="004F0B9E" w:rsidRPr="00D01E89">
        <w:rPr>
          <w:rFonts w:ascii="Arial" w:hAnsi="Arial" w:cs="Arial"/>
          <w:sz w:val="24"/>
          <w:szCs w:val="24"/>
          <w:lang w:val="pt-BR"/>
        </w:rPr>
        <w:lastRenderedPageBreak/>
        <w:t xml:space="preserve">deveriam </w:t>
      </w:r>
      <w:r w:rsidR="004E01C7" w:rsidRPr="00D01E89">
        <w:rPr>
          <w:rFonts w:ascii="Arial" w:hAnsi="Arial" w:cs="Arial"/>
          <w:sz w:val="24"/>
          <w:szCs w:val="24"/>
          <w:lang w:val="pt-BR"/>
        </w:rPr>
        <w:t xml:space="preserve">ser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tratados como preparação </w:t>
      </w:r>
      <w:r w:rsidR="006F4C88" w:rsidRPr="00D01E89">
        <w:rPr>
          <w:rFonts w:ascii="Arial" w:hAnsi="Arial" w:cs="Arial"/>
          <w:sz w:val="24"/>
          <w:szCs w:val="24"/>
          <w:lang w:val="pt-BR"/>
        </w:rPr>
        <w:t xml:space="preserve">para as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negociações </w:t>
      </w:r>
      <w:r w:rsidR="006F4C88" w:rsidRPr="00D01E89">
        <w:rPr>
          <w:rFonts w:ascii="Arial" w:hAnsi="Arial" w:cs="Arial"/>
          <w:sz w:val="24"/>
          <w:szCs w:val="24"/>
          <w:lang w:val="pt-BR"/>
        </w:rPr>
        <w:t xml:space="preserve">a </w:t>
      </w:r>
      <w:r w:rsidR="00536C24" w:rsidRPr="00D01E89">
        <w:rPr>
          <w:rFonts w:ascii="Arial" w:hAnsi="Arial" w:cs="Arial"/>
          <w:sz w:val="24"/>
          <w:szCs w:val="24"/>
          <w:lang w:val="pt-BR"/>
        </w:rPr>
        <w:t xml:space="preserve">realizar </w:t>
      </w:r>
      <w:r w:rsidR="006F4C88" w:rsidRPr="00D01E89">
        <w:rPr>
          <w:rFonts w:ascii="Arial" w:hAnsi="Arial" w:cs="Arial"/>
          <w:sz w:val="24"/>
          <w:szCs w:val="24"/>
          <w:lang w:val="pt-BR"/>
        </w:rPr>
        <w:t>sobre as questões do ARM a nível d</w:t>
      </w:r>
      <w:r w:rsidR="00084CCF">
        <w:rPr>
          <w:rFonts w:ascii="Arial" w:hAnsi="Arial" w:cs="Arial"/>
          <w:sz w:val="24"/>
          <w:szCs w:val="24"/>
          <w:lang w:val="pt-BR"/>
        </w:rPr>
        <w:t>a</w:t>
      </w:r>
      <w:r w:rsidR="006F4C88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AC248C">
        <w:rPr>
          <w:rFonts w:ascii="Arial" w:hAnsi="Arial" w:cs="Arial"/>
          <w:sz w:val="24"/>
          <w:szCs w:val="24"/>
          <w:lang w:val="pt-BR"/>
        </w:rPr>
        <w:t>AfCFTA</w:t>
      </w:r>
      <w:r w:rsidR="006F4C88" w:rsidRPr="00D01E89">
        <w:rPr>
          <w:rFonts w:ascii="Arial" w:hAnsi="Arial" w:cs="Arial"/>
          <w:sz w:val="24"/>
          <w:szCs w:val="24"/>
          <w:lang w:val="pt-BR"/>
        </w:rPr>
        <w:t>.</w:t>
      </w:r>
    </w:p>
    <w:p w14:paraId="4AF39325" w14:textId="77777777" w:rsidR="00957DE8" w:rsidRPr="00D01E89" w:rsidRDefault="00957DE8" w:rsidP="000953A4">
      <w:pPr>
        <w:pStyle w:val="ListParagraph"/>
        <w:tabs>
          <w:tab w:val="left" w:pos="1170"/>
        </w:tabs>
        <w:spacing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</w:p>
    <w:p w14:paraId="7D60C8FB" w14:textId="5C218A92" w:rsidR="0019012A" w:rsidRPr="00D01E89" w:rsidRDefault="00895CA3">
      <w:pPr>
        <w:pStyle w:val="ListParagraph"/>
        <w:numPr>
          <w:ilvl w:val="1"/>
          <w:numId w:val="1"/>
        </w:numPr>
        <w:tabs>
          <w:tab w:val="left" w:pos="1170"/>
        </w:tabs>
        <w:spacing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>O Sr. Reinaldo E. J. Mendiate, Oficial de Programa - Comércio Multilateral no Secretariado da SADC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19746F" w:rsidRPr="00D01E89">
        <w:rPr>
          <w:rFonts w:ascii="Arial" w:hAnsi="Arial" w:cs="Arial"/>
          <w:sz w:val="24"/>
          <w:szCs w:val="24"/>
          <w:lang w:val="pt-BR"/>
        </w:rPr>
        <w:t xml:space="preserve">recordou à </w:t>
      </w:r>
      <w:r w:rsidR="0038763B" w:rsidRPr="00D01E89">
        <w:rPr>
          <w:rFonts w:ascii="Arial" w:hAnsi="Arial" w:cs="Arial"/>
          <w:sz w:val="24"/>
          <w:szCs w:val="24"/>
          <w:lang w:val="pt-BR"/>
        </w:rPr>
        <w:t xml:space="preserve">reunião que a </w:t>
      </w:r>
      <w:r w:rsidR="00AC248C">
        <w:rPr>
          <w:rFonts w:ascii="Arial" w:hAnsi="Arial" w:cs="Arial"/>
          <w:sz w:val="24"/>
          <w:szCs w:val="24"/>
          <w:lang w:val="pt-BR"/>
        </w:rPr>
        <w:t xml:space="preserve">45ª </w:t>
      </w:r>
      <w:r w:rsidRPr="00D01E89">
        <w:rPr>
          <w:rFonts w:ascii="Arial" w:hAnsi="Arial" w:cs="Arial"/>
          <w:sz w:val="24"/>
          <w:szCs w:val="24"/>
          <w:lang w:val="pt-BR"/>
        </w:rPr>
        <w:t>reunião TNF-Servi</w:t>
      </w:r>
      <w:r w:rsidR="00AC248C">
        <w:rPr>
          <w:rFonts w:ascii="Arial" w:hAnsi="Arial" w:cs="Arial"/>
          <w:sz w:val="24"/>
          <w:szCs w:val="24"/>
          <w:lang w:val="pt-BR"/>
        </w:rPr>
        <w:t xml:space="preserve">ços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realizada em Joanesburgo, África do Sul,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de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27 a 29 de </w:t>
      </w:r>
      <w:r w:rsidR="00AC248C">
        <w:rPr>
          <w:rFonts w:ascii="Arial" w:hAnsi="Arial" w:cs="Arial"/>
          <w:sz w:val="24"/>
          <w:szCs w:val="24"/>
          <w:lang w:val="pt-BR"/>
        </w:rPr>
        <w:t>A</w:t>
      </w:r>
      <w:r w:rsidRPr="00D01E89">
        <w:rPr>
          <w:rFonts w:ascii="Arial" w:hAnsi="Arial" w:cs="Arial"/>
          <w:sz w:val="24"/>
          <w:szCs w:val="24"/>
          <w:lang w:val="pt-BR"/>
        </w:rPr>
        <w:t>bril de 2023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536C24" w:rsidRPr="00D01E89">
        <w:rPr>
          <w:rFonts w:ascii="Arial" w:hAnsi="Arial" w:cs="Arial"/>
          <w:sz w:val="24"/>
          <w:szCs w:val="24"/>
          <w:lang w:val="pt-BR"/>
        </w:rPr>
        <w:t xml:space="preserve">tinha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concordado em </w:t>
      </w:r>
      <w:r w:rsidR="00461A03" w:rsidRPr="00D01E89">
        <w:rPr>
          <w:rFonts w:ascii="Arial" w:hAnsi="Arial" w:cs="Arial"/>
          <w:sz w:val="24"/>
          <w:szCs w:val="24"/>
          <w:lang w:val="pt-BR"/>
        </w:rPr>
        <w:t xml:space="preserve">convocar </w:t>
      </w:r>
      <w:r w:rsidR="004C6578">
        <w:rPr>
          <w:rFonts w:ascii="Arial" w:hAnsi="Arial" w:cs="Arial"/>
          <w:sz w:val="24"/>
          <w:szCs w:val="24"/>
          <w:lang w:val="pt-BR"/>
        </w:rPr>
        <w:t>de modo virtual</w:t>
      </w:r>
      <w:r w:rsidR="00461A03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duas </w:t>
      </w:r>
      <w:r w:rsidR="00461A03" w:rsidRPr="00D01E89">
        <w:rPr>
          <w:rFonts w:ascii="Arial" w:hAnsi="Arial" w:cs="Arial"/>
          <w:sz w:val="24"/>
          <w:szCs w:val="24"/>
          <w:lang w:val="pt-BR"/>
        </w:rPr>
        <w:t xml:space="preserve">sessões dedicadas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para analisar e </w:t>
      </w:r>
      <w:r w:rsidR="00461A03" w:rsidRPr="00D01E89">
        <w:rPr>
          <w:rFonts w:ascii="Arial" w:hAnsi="Arial" w:cs="Arial"/>
          <w:sz w:val="24"/>
          <w:szCs w:val="24"/>
          <w:lang w:val="pt-BR"/>
        </w:rPr>
        <w:t xml:space="preserve">finalizar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o </w:t>
      </w:r>
      <w:r w:rsidR="00461A03" w:rsidRPr="00D01E89">
        <w:rPr>
          <w:rFonts w:ascii="Arial" w:hAnsi="Arial" w:cs="Arial"/>
          <w:sz w:val="24"/>
          <w:szCs w:val="24"/>
          <w:lang w:val="pt-BR"/>
        </w:rPr>
        <w:t>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461A03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331A4E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="009354DF" w:rsidRPr="00D01E89">
        <w:rPr>
          <w:rFonts w:ascii="Arial" w:hAnsi="Arial" w:cs="Arial"/>
          <w:sz w:val="24"/>
          <w:szCs w:val="24"/>
          <w:lang w:val="pt-BR"/>
        </w:rPr>
        <w:t xml:space="preserve">Durante esta reunião, foi 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acordado que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era </w:t>
      </w:r>
      <w:r w:rsidR="00F86939" w:rsidRPr="00D01E89">
        <w:rPr>
          <w:rFonts w:ascii="Arial" w:hAnsi="Arial" w:cs="Arial"/>
          <w:sz w:val="24"/>
          <w:szCs w:val="24"/>
          <w:lang w:val="pt-BR"/>
        </w:rPr>
        <w:t>necessário acelerar as negociações sobre o proje</w:t>
      </w:r>
      <w:r w:rsidR="00084CCF">
        <w:rPr>
          <w:rFonts w:ascii="Arial" w:hAnsi="Arial" w:cs="Arial"/>
          <w:sz w:val="24"/>
          <w:szCs w:val="24"/>
          <w:lang w:val="pt-BR"/>
        </w:rPr>
        <w:t>c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com vista a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apresentar </w:t>
      </w:r>
      <w:r w:rsidR="00F86939" w:rsidRPr="00D01E89">
        <w:rPr>
          <w:rFonts w:ascii="Arial" w:hAnsi="Arial" w:cs="Arial"/>
          <w:sz w:val="24"/>
          <w:szCs w:val="24"/>
          <w:lang w:val="pt-BR"/>
        </w:rPr>
        <w:t>o 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F86939" w:rsidRPr="00D01E89">
        <w:rPr>
          <w:rFonts w:ascii="Arial" w:hAnsi="Arial" w:cs="Arial"/>
          <w:sz w:val="24"/>
          <w:szCs w:val="24"/>
          <w:lang w:val="pt-BR"/>
        </w:rPr>
        <w:t>to final para ado</w:t>
      </w:r>
      <w:r w:rsidR="004C6578">
        <w:rPr>
          <w:rFonts w:ascii="Arial" w:hAnsi="Arial" w:cs="Arial"/>
          <w:sz w:val="24"/>
          <w:szCs w:val="24"/>
          <w:lang w:val="pt-BR"/>
        </w:rPr>
        <w:t>p</w:t>
      </w:r>
      <w:r w:rsidR="00F86939" w:rsidRPr="00D01E89">
        <w:rPr>
          <w:rFonts w:ascii="Arial" w:hAnsi="Arial" w:cs="Arial"/>
          <w:sz w:val="24"/>
          <w:szCs w:val="24"/>
          <w:lang w:val="pt-BR"/>
        </w:rPr>
        <w:t>ção pelo Comité de Ministros do Comércio (CMT) na sua reunião prevista para</w:t>
      </w:r>
      <w:r w:rsidR="00AC248C">
        <w:rPr>
          <w:rFonts w:ascii="Arial" w:hAnsi="Arial" w:cs="Arial"/>
          <w:sz w:val="24"/>
          <w:szCs w:val="24"/>
          <w:lang w:val="pt-BR"/>
        </w:rPr>
        <w:t xml:space="preserve"> J</w:t>
      </w:r>
      <w:r w:rsidR="00F86939" w:rsidRPr="00D01E89">
        <w:rPr>
          <w:rFonts w:ascii="Arial" w:hAnsi="Arial" w:cs="Arial"/>
          <w:sz w:val="24"/>
          <w:szCs w:val="24"/>
          <w:lang w:val="pt-BR"/>
        </w:rPr>
        <w:t>unho/</w:t>
      </w:r>
      <w:r w:rsidR="00AC248C">
        <w:rPr>
          <w:rFonts w:ascii="Arial" w:hAnsi="Arial" w:cs="Arial"/>
          <w:sz w:val="24"/>
          <w:szCs w:val="24"/>
          <w:lang w:val="pt-BR"/>
        </w:rPr>
        <w:t>J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ulho de 2023. Isto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era 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importante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dado 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que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algumas profissões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já </w:t>
      </w:r>
      <w:r w:rsidR="00536C24" w:rsidRPr="00D01E89">
        <w:rPr>
          <w:rFonts w:ascii="Arial" w:hAnsi="Arial" w:cs="Arial"/>
          <w:sz w:val="24"/>
          <w:szCs w:val="24"/>
          <w:lang w:val="pt-BR"/>
        </w:rPr>
        <w:t xml:space="preserve">estavam preparadas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para começar a negociar </w:t>
      </w:r>
      <w:r w:rsidR="00AC248C">
        <w:rPr>
          <w:rFonts w:ascii="Arial" w:hAnsi="Arial" w:cs="Arial"/>
          <w:sz w:val="24"/>
          <w:szCs w:val="24"/>
          <w:lang w:val="pt-BR"/>
        </w:rPr>
        <w:t>MRA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4F0B9E" w:rsidRPr="00D01E89">
        <w:rPr>
          <w:rFonts w:ascii="Arial" w:hAnsi="Arial" w:cs="Arial"/>
          <w:sz w:val="24"/>
          <w:szCs w:val="24"/>
          <w:lang w:val="pt-BR"/>
        </w:rPr>
        <w:t>para os seus sectores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, mas 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as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eram necessárias 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para assegurar a coerência e o alinhamento </w:t>
      </w:r>
      <w:r w:rsidR="004F0B9E" w:rsidRPr="00D01E89">
        <w:rPr>
          <w:rFonts w:ascii="Arial" w:hAnsi="Arial" w:cs="Arial"/>
          <w:sz w:val="24"/>
          <w:szCs w:val="24"/>
          <w:lang w:val="pt-BR"/>
        </w:rPr>
        <w:t xml:space="preserve">com os requisitos 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do Tratado da SADC e </w:t>
      </w:r>
      <w:r w:rsidR="00DA256F" w:rsidRPr="00D01E89">
        <w:rPr>
          <w:rFonts w:ascii="Arial" w:hAnsi="Arial" w:cs="Arial"/>
          <w:sz w:val="24"/>
          <w:szCs w:val="24"/>
          <w:lang w:val="pt-BR"/>
        </w:rPr>
        <w:t xml:space="preserve">outros Protocolos, incluindo o Protocolo </w:t>
      </w:r>
      <w:r w:rsidR="004F0B9E" w:rsidRPr="00D01E89">
        <w:rPr>
          <w:rFonts w:ascii="Arial" w:hAnsi="Arial" w:cs="Arial"/>
          <w:sz w:val="24"/>
          <w:szCs w:val="24"/>
          <w:lang w:val="pt-BR"/>
        </w:rPr>
        <w:t>sobre o Comércio de Serviços</w:t>
      </w:r>
      <w:r w:rsidR="00F86939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050B3D86" w14:textId="77777777" w:rsidR="00852829" w:rsidRPr="00D01E89" w:rsidRDefault="00852829" w:rsidP="000953A4">
      <w:pPr>
        <w:pStyle w:val="ListParagraph"/>
        <w:spacing w:after="0" w:line="312" w:lineRule="auto"/>
        <w:rPr>
          <w:rFonts w:ascii="Arial" w:hAnsi="Arial" w:cs="Arial"/>
          <w:sz w:val="24"/>
          <w:szCs w:val="24"/>
          <w:lang w:val="pt-BR"/>
        </w:rPr>
      </w:pPr>
    </w:p>
    <w:p w14:paraId="1B43E65E" w14:textId="77777777" w:rsidR="0019012A" w:rsidRPr="00D01E89" w:rsidRDefault="00895CA3">
      <w:pPr>
        <w:pStyle w:val="ListParagraph"/>
        <w:numPr>
          <w:ilvl w:val="1"/>
          <w:numId w:val="1"/>
        </w:numPr>
        <w:tabs>
          <w:tab w:val="left" w:pos="1170"/>
        </w:tabs>
        <w:spacing w:after="0" w:line="312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Os Estados Membros foram </w:t>
      </w:r>
      <w:r w:rsidR="00502E9B" w:rsidRPr="00D01E89">
        <w:rPr>
          <w:rFonts w:ascii="Arial" w:hAnsi="Arial" w:cs="Arial"/>
          <w:sz w:val="24"/>
          <w:szCs w:val="24"/>
          <w:lang w:val="pt-BR"/>
        </w:rPr>
        <w:t xml:space="preserve">informados de que a primeira sessão específica não </w:t>
      </w:r>
      <w:r w:rsidR="009354DF" w:rsidRPr="00D01E89">
        <w:rPr>
          <w:rFonts w:ascii="Arial" w:hAnsi="Arial" w:cs="Arial"/>
          <w:sz w:val="24"/>
          <w:szCs w:val="24"/>
          <w:lang w:val="pt-BR"/>
        </w:rPr>
        <w:t xml:space="preserve">tinha atingido </w:t>
      </w:r>
      <w:r w:rsidR="00502E9B" w:rsidRPr="00D01E89">
        <w:rPr>
          <w:rFonts w:ascii="Arial" w:hAnsi="Arial" w:cs="Arial"/>
          <w:sz w:val="24"/>
          <w:szCs w:val="24"/>
          <w:lang w:val="pt-BR"/>
        </w:rPr>
        <w:t xml:space="preserve">o quórum exigido de onze Estados Membros </w:t>
      </w:r>
      <w:r w:rsidR="009354DF" w:rsidRPr="00D01E89">
        <w:rPr>
          <w:rFonts w:ascii="Arial" w:hAnsi="Arial" w:cs="Arial"/>
          <w:sz w:val="24"/>
          <w:szCs w:val="24"/>
          <w:lang w:val="pt-BR"/>
        </w:rPr>
        <w:t>e que a sessão tinha prosseguido como uma reunião consultiva</w:t>
      </w:r>
      <w:r w:rsidRPr="00D01E89">
        <w:rPr>
          <w:rFonts w:ascii="Arial" w:hAnsi="Arial" w:cs="Arial"/>
          <w:sz w:val="24"/>
          <w:szCs w:val="24"/>
          <w:lang w:val="pt-BR"/>
        </w:rPr>
        <w:t>. O Secretariado reiterou que</w:t>
      </w:r>
      <w:r w:rsidR="009354DF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em conformidade com os procedimentos da SADC, os Estados Membros não podem tomar decisões </w:t>
      </w:r>
      <w:r w:rsidR="00536C24" w:rsidRPr="00D01E89">
        <w:rPr>
          <w:rFonts w:ascii="Arial" w:hAnsi="Arial" w:cs="Arial"/>
          <w:sz w:val="24"/>
          <w:szCs w:val="24"/>
          <w:lang w:val="pt-BR"/>
        </w:rPr>
        <w:t xml:space="preserve">nessa reunião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e que os resultados da mesma seriam apresentados para apreciação </w:t>
      </w:r>
      <w:r w:rsidR="00536C24" w:rsidRPr="00D01E89">
        <w:rPr>
          <w:rFonts w:ascii="Arial" w:hAnsi="Arial" w:cs="Arial"/>
          <w:sz w:val="24"/>
          <w:szCs w:val="24"/>
          <w:lang w:val="pt-BR"/>
        </w:rPr>
        <w:t xml:space="preserve">numa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reunião </w:t>
      </w:r>
      <w:r w:rsidR="009354DF" w:rsidRPr="00D01E89">
        <w:rPr>
          <w:rFonts w:ascii="Arial" w:hAnsi="Arial" w:cs="Arial"/>
          <w:sz w:val="24"/>
          <w:szCs w:val="24"/>
          <w:lang w:val="pt-BR"/>
        </w:rPr>
        <w:t xml:space="preserve">com </w:t>
      </w:r>
      <w:r w:rsidRPr="00D01E89">
        <w:rPr>
          <w:rFonts w:ascii="Arial" w:hAnsi="Arial" w:cs="Arial"/>
          <w:sz w:val="24"/>
          <w:szCs w:val="24"/>
          <w:lang w:val="pt-BR"/>
        </w:rPr>
        <w:t>quórum completo.</w:t>
      </w:r>
    </w:p>
    <w:p w14:paraId="16E96FD4" w14:textId="77777777" w:rsidR="0019012A" w:rsidRDefault="00895CA3">
      <w:pPr>
        <w:pStyle w:val="ListParagraph"/>
        <w:numPr>
          <w:ilvl w:val="0"/>
          <w:numId w:val="1"/>
        </w:numPr>
        <w:tabs>
          <w:tab w:val="left" w:pos="1170"/>
        </w:tabs>
        <w:spacing w:before="240" w:after="0" w:line="312" w:lineRule="auto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F101A0">
        <w:rPr>
          <w:rFonts w:ascii="Arial" w:hAnsi="Arial" w:cs="Arial"/>
          <w:b/>
          <w:bCs/>
          <w:sz w:val="24"/>
          <w:szCs w:val="24"/>
        </w:rPr>
        <w:t>PRESENÇA E QUÓRUM</w:t>
      </w:r>
    </w:p>
    <w:p w14:paraId="1473DD07" w14:textId="77777777" w:rsidR="00B51246" w:rsidRPr="00F101A0" w:rsidRDefault="00B51246" w:rsidP="000953A4">
      <w:pPr>
        <w:pStyle w:val="PlainText"/>
        <w:spacing w:line="312" w:lineRule="auto"/>
        <w:rPr>
          <w:rFonts w:ascii="Arial" w:hAnsi="Arial" w:cs="Arial"/>
          <w:sz w:val="24"/>
          <w:szCs w:val="24"/>
        </w:rPr>
      </w:pPr>
    </w:p>
    <w:p w14:paraId="3BF3142F" w14:textId="77777777" w:rsidR="0019012A" w:rsidRDefault="00895CA3">
      <w:pPr>
        <w:pStyle w:val="ListParagraph"/>
        <w:numPr>
          <w:ilvl w:val="1"/>
          <w:numId w:val="1"/>
        </w:numPr>
        <w:tabs>
          <w:tab w:val="left" w:pos="851"/>
        </w:tabs>
        <w:spacing w:after="0" w:line="312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A reunião contou com a participação de </w:t>
      </w:r>
      <w:r w:rsidR="00451311" w:rsidRPr="00D01E89">
        <w:rPr>
          <w:rFonts w:ascii="Arial" w:hAnsi="Arial" w:cs="Arial"/>
          <w:sz w:val="24"/>
          <w:szCs w:val="24"/>
          <w:lang w:val="pt-BR"/>
        </w:rPr>
        <w:t xml:space="preserve">dez </w:t>
      </w:r>
      <w:r w:rsidRPr="00D01E89">
        <w:rPr>
          <w:rFonts w:ascii="Arial" w:hAnsi="Arial" w:cs="Arial"/>
          <w:sz w:val="24"/>
          <w:szCs w:val="24"/>
          <w:lang w:val="pt-BR"/>
        </w:rPr>
        <w:t>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Pr="00D01E89">
        <w:rPr>
          <w:rFonts w:ascii="Arial" w:hAnsi="Arial" w:cs="Arial"/>
          <w:sz w:val="24"/>
          <w:szCs w:val="24"/>
          <w:lang w:val="pt-BR"/>
        </w:rPr>
        <w:t>Membros</w:t>
      </w:r>
      <w:r w:rsidR="00451311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BA12BE" w:rsidRPr="00D01E89">
        <w:rPr>
          <w:rFonts w:ascii="Arial" w:hAnsi="Arial" w:cs="Arial"/>
          <w:sz w:val="24"/>
          <w:szCs w:val="24"/>
          <w:lang w:val="pt-BR"/>
        </w:rPr>
        <w:t>nomeadamente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: </w:t>
      </w:r>
      <w:r w:rsidR="00F53FE3" w:rsidRPr="00D01E89">
        <w:rPr>
          <w:rFonts w:ascii="Arial" w:hAnsi="Arial" w:cs="Arial"/>
          <w:sz w:val="24"/>
          <w:szCs w:val="24"/>
          <w:lang w:val="pt-BR"/>
        </w:rPr>
        <w:t xml:space="preserve">Botswana, </w:t>
      </w:r>
      <w:r w:rsidR="00464A38" w:rsidRPr="00D01E89">
        <w:rPr>
          <w:rFonts w:ascii="Arial" w:hAnsi="Arial" w:cs="Arial"/>
          <w:sz w:val="24"/>
          <w:szCs w:val="24"/>
          <w:lang w:val="pt-BR"/>
        </w:rPr>
        <w:t xml:space="preserve">Eswatini, </w:t>
      </w:r>
      <w:r w:rsidR="00F53FE3" w:rsidRPr="00D01E89">
        <w:rPr>
          <w:rFonts w:ascii="Arial" w:hAnsi="Arial" w:cs="Arial"/>
          <w:sz w:val="24"/>
          <w:szCs w:val="24"/>
          <w:lang w:val="pt-BR"/>
        </w:rPr>
        <w:t xml:space="preserve">Lesoto,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Malawi, </w:t>
      </w:r>
      <w:r w:rsidR="001D10D8" w:rsidRPr="00D01E89">
        <w:rPr>
          <w:rFonts w:ascii="Arial" w:hAnsi="Arial" w:cs="Arial"/>
          <w:sz w:val="24"/>
          <w:szCs w:val="24"/>
          <w:lang w:val="pt-BR"/>
        </w:rPr>
        <w:t xml:space="preserve">Maurícias, </w:t>
      </w:r>
      <w:r w:rsidR="00A8207C" w:rsidRPr="00D01E89">
        <w:rPr>
          <w:rFonts w:ascii="Arial" w:hAnsi="Arial" w:cs="Arial"/>
          <w:sz w:val="24"/>
          <w:szCs w:val="24"/>
          <w:lang w:val="pt-BR"/>
        </w:rPr>
        <w:t xml:space="preserve">Seychelles,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África do Sul, Zâmbia e Zimbabwe.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Um </w:t>
      </w:r>
      <w:r w:rsidR="00DF6E1F" w:rsidRPr="00D01E89">
        <w:rPr>
          <w:rFonts w:ascii="Arial" w:hAnsi="Arial" w:cs="Arial"/>
          <w:sz w:val="24"/>
          <w:szCs w:val="24"/>
          <w:lang w:val="pt-BR"/>
        </w:rPr>
        <w:t xml:space="preserve">representante da Federação Pan-Africana de Contabilistas </w:t>
      </w:r>
      <w:r w:rsidR="00DA256F" w:rsidRPr="00D01E89">
        <w:rPr>
          <w:rFonts w:ascii="Arial" w:hAnsi="Arial" w:cs="Arial"/>
          <w:sz w:val="24"/>
          <w:szCs w:val="24"/>
          <w:lang w:val="pt-BR"/>
        </w:rPr>
        <w:t xml:space="preserve">(PAFA)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também </w:t>
      </w:r>
      <w:r w:rsidR="00DF6E1F" w:rsidRPr="00D01E89">
        <w:rPr>
          <w:rFonts w:ascii="Arial" w:hAnsi="Arial" w:cs="Arial"/>
          <w:sz w:val="24"/>
          <w:szCs w:val="24"/>
          <w:lang w:val="pt-BR"/>
        </w:rPr>
        <w:t xml:space="preserve">participou na reunião, enquanto </w:t>
      </w:r>
      <w:r w:rsidR="003A4195" w:rsidRPr="00D01E89">
        <w:rPr>
          <w:rFonts w:ascii="Arial" w:hAnsi="Arial" w:cs="Arial"/>
          <w:sz w:val="24"/>
          <w:szCs w:val="24"/>
          <w:lang w:val="pt-BR"/>
        </w:rPr>
        <w:t xml:space="preserve">o </w:t>
      </w:r>
      <w:r w:rsidR="003D1C3C" w:rsidRPr="00D01E89">
        <w:rPr>
          <w:rFonts w:ascii="Arial" w:hAnsi="Arial" w:cs="Arial"/>
          <w:sz w:val="24"/>
          <w:szCs w:val="24"/>
          <w:lang w:val="pt-BR"/>
        </w:rPr>
        <w:t xml:space="preserve">Secretariado </w:t>
      </w:r>
      <w:r w:rsidR="003A4195" w:rsidRPr="00D01E89">
        <w:rPr>
          <w:rFonts w:ascii="Arial" w:hAnsi="Arial" w:cs="Arial"/>
          <w:sz w:val="24"/>
          <w:szCs w:val="24"/>
          <w:lang w:val="pt-BR"/>
        </w:rPr>
        <w:t xml:space="preserve">foi representado por funcionários da </w:t>
      </w:r>
      <w:r w:rsidR="003D1C3C" w:rsidRPr="00D01E89">
        <w:rPr>
          <w:rFonts w:ascii="Arial" w:hAnsi="Arial" w:cs="Arial"/>
          <w:sz w:val="24"/>
          <w:szCs w:val="24"/>
          <w:lang w:val="pt-BR"/>
        </w:rPr>
        <w:t>Direção de Desenvolvimento Industrial e Comércio e da Unidade Jurídica</w:t>
      </w:r>
      <w:r w:rsidR="004C2CF7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="00E35ABB" w:rsidRPr="00F101A0">
        <w:rPr>
          <w:rFonts w:ascii="Arial" w:hAnsi="Arial" w:cs="Arial"/>
          <w:sz w:val="24"/>
          <w:szCs w:val="24"/>
        </w:rPr>
        <w:t xml:space="preserve">Uma lista pormenorizada dos participantes consta do Anexo I. </w:t>
      </w:r>
    </w:p>
    <w:p w14:paraId="775A2337" w14:textId="77777777" w:rsidR="009354DF" w:rsidRPr="00F101A0" w:rsidRDefault="009354DF" w:rsidP="009354DF">
      <w:pPr>
        <w:pStyle w:val="ListParagraph"/>
        <w:tabs>
          <w:tab w:val="left" w:pos="851"/>
        </w:tabs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5805F482" w14:textId="77777777" w:rsidR="0019012A" w:rsidRPr="00D01E89" w:rsidRDefault="00895CA3">
      <w:pPr>
        <w:pStyle w:val="ListParagraph"/>
        <w:numPr>
          <w:ilvl w:val="1"/>
          <w:numId w:val="1"/>
        </w:numPr>
        <w:tabs>
          <w:tab w:val="left" w:pos="851"/>
        </w:tabs>
        <w:spacing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A </w:t>
      </w:r>
      <w:r w:rsidR="009354DF" w:rsidRPr="00D01E89">
        <w:rPr>
          <w:rFonts w:ascii="Arial" w:hAnsi="Arial" w:cs="Arial"/>
          <w:sz w:val="24"/>
          <w:szCs w:val="24"/>
          <w:lang w:val="pt-BR"/>
        </w:rPr>
        <w:t xml:space="preserve">falta de quórum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também </w:t>
      </w:r>
      <w:r w:rsidR="009354DF" w:rsidRPr="00D01E89">
        <w:rPr>
          <w:rFonts w:ascii="Arial" w:hAnsi="Arial" w:cs="Arial"/>
          <w:sz w:val="24"/>
          <w:szCs w:val="24"/>
          <w:lang w:val="pt-BR"/>
        </w:rPr>
        <w:t xml:space="preserve">se verificou relativamente a esta segunda sessão </w:t>
      </w:r>
      <w:r w:rsidRPr="00D01E89">
        <w:rPr>
          <w:rFonts w:ascii="Arial" w:hAnsi="Arial" w:cs="Arial"/>
          <w:sz w:val="24"/>
          <w:szCs w:val="24"/>
          <w:lang w:val="pt-BR"/>
        </w:rPr>
        <w:t>específica</w:t>
      </w:r>
      <w:r w:rsidR="009354DF" w:rsidRPr="00D01E89">
        <w:rPr>
          <w:rFonts w:ascii="Arial" w:hAnsi="Arial" w:cs="Arial"/>
          <w:sz w:val="24"/>
          <w:szCs w:val="24"/>
          <w:lang w:val="pt-BR"/>
        </w:rPr>
        <w:t>.  À luz dos conselhos do Secretariado sobre o procedimento, 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9354DF" w:rsidRPr="00D01E89">
        <w:rPr>
          <w:rFonts w:ascii="Arial" w:hAnsi="Arial" w:cs="Arial"/>
          <w:sz w:val="24"/>
          <w:szCs w:val="24"/>
          <w:lang w:val="pt-BR"/>
        </w:rPr>
        <w:t>Membros concordaram em prosseguir a sessão como uma reunião consultiva.</w:t>
      </w:r>
    </w:p>
    <w:p w14:paraId="7781FF0F" w14:textId="77777777" w:rsidR="004C2CF7" w:rsidRPr="00D01E89" w:rsidRDefault="004C2CF7" w:rsidP="000953A4">
      <w:pPr>
        <w:pStyle w:val="ListParagraph"/>
        <w:tabs>
          <w:tab w:val="left" w:pos="1170"/>
        </w:tabs>
        <w:spacing w:after="0" w:line="312" w:lineRule="auto"/>
        <w:ind w:left="1170"/>
        <w:jc w:val="both"/>
        <w:rPr>
          <w:rFonts w:ascii="Arial" w:hAnsi="Arial" w:cs="Arial"/>
          <w:sz w:val="24"/>
          <w:szCs w:val="24"/>
          <w:lang w:val="pt-BR"/>
        </w:rPr>
      </w:pPr>
    </w:p>
    <w:p w14:paraId="5122C880" w14:textId="2ED8C751" w:rsidR="0019012A" w:rsidRPr="00D01E89" w:rsidRDefault="00895CA3">
      <w:pPr>
        <w:pStyle w:val="ListParagraph"/>
        <w:numPr>
          <w:ilvl w:val="0"/>
          <w:numId w:val="1"/>
        </w:numPr>
        <w:spacing w:after="0" w:line="312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CONSIDERAÇÃO DO PROJECTO DE </w:t>
      </w:r>
      <w:r w:rsidR="008176CE">
        <w:rPr>
          <w:rFonts w:ascii="Arial" w:hAnsi="Arial" w:cs="Arial"/>
          <w:b/>
          <w:bCs/>
          <w:sz w:val="24"/>
          <w:szCs w:val="24"/>
          <w:lang w:val="pt-BR"/>
        </w:rPr>
        <w:t>DIRECTIVAS</w:t>
      </w: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 PARA O DESENVOLVIMENTO D</w:t>
      </w:r>
      <w:r w:rsidR="004C6578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80694">
        <w:rPr>
          <w:rFonts w:ascii="Arial" w:hAnsi="Arial" w:cs="Arial"/>
          <w:b/>
          <w:bCs/>
          <w:sz w:val="24"/>
          <w:szCs w:val="24"/>
          <w:lang w:val="pt-BR"/>
        </w:rPr>
        <w:t>MRA</w:t>
      </w: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 DA SADC PARA OS SERVIÇOS PROFISSIONAIS</w:t>
      </w:r>
    </w:p>
    <w:p w14:paraId="3E72BFA0" w14:textId="70B37A18" w:rsidR="0019012A" w:rsidRPr="00D01E89" w:rsidRDefault="00895CA3">
      <w:pPr>
        <w:pStyle w:val="ListParagraph"/>
        <w:numPr>
          <w:ilvl w:val="1"/>
          <w:numId w:val="1"/>
        </w:numPr>
        <w:spacing w:before="240"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A reunião analisou o </w:t>
      </w:r>
      <w:r w:rsidR="007D5C79" w:rsidRPr="00D01E89">
        <w:rPr>
          <w:rFonts w:ascii="Arial" w:hAnsi="Arial" w:cs="Arial"/>
          <w:sz w:val="24"/>
          <w:szCs w:val="24"/>
          <w:lang w:val="pt-BR"/>
        </w:rPr>
        <w:t>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7D5C79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7D5C79" w:rsidRPr="00D01E89">
        <w:rPr>
          <w:rFonts w:ascii="Arial" w:hAnsi="Arial" w:cs="Arial"/>
          <w:sz w:val="24"/>
          <w:szCs w:val="24"/>
          <w:lang w:val="pt-BR"/>
        </w:rPr>
        <w:t xml:space="preserve">, prestando especial atenção às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revisões feitas pelo Secretariado </w:t>
      </w:r>
      <w:r w:rsidR="007D5C79" w:rsidRPr="00D01E89">
        <w:rPr>
          <w:rFonts w:ascii="Arial" w:hAnsi="Arial" w:cs="Arial"/>
          <w:sz w:val="24"/>
          <w:szCs w:val="24"/>
          <w:lang w:val="pt-BR"/>
        </w:rPr>
        <w:t xml:space="preserve">para incorporar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os comentários dos Estados-Membros feitos na </w:t>
      </w:r>
      <w:r w:rsidR="00703F7C" w:rsidRPr="00D01E89">
        <w:rPr>
          <w:rFonts w:ascii="Arial" w:hAnsi="Arial" w:cs="Arial"/>
          <w:sz w:val="24"/>
          <w:szCs w:val="24"/>
          <w:lang w:val="pt-BR"/>
        </w:rPr>
        <w:t>primeira sessão específica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. As principais revisões </w:t>
      </w:r>
      <w:r w:rsidR="00591DB8" w:rsidRPr="00D01E89">
        <w:rPr>
          <w:rFonts w:ascii="Arial" w:hAnsi="Arial" w:cs="Arial"/>
          <w:sz w:val="24"/>
          <w:szCs w:val="24"/>
          <w:lang w:val="pt-BR"/>
        </w:rPr>
        <w:t xml:space="preserve">foram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destacadas no documento </w:t>
      </w:r>
      <w:r w:rsidRPr="00D01E89">
        <w:rPr>
          <w:rFonts w:ascii="Arial" w:hAnsi="Arial" w:cs="Arial"/>
          <w:b/>
          <w:bCs/>
          <w:sz w:val="24"/>
          <w:szCs w:val="24"/>
          <w:lang w:val="pt-BR"/>
        </w:rPr>
        <w:t>SADC/TNF-Serv.</w:t>
      </w:r>
      <w:r w:rsidR="00630B05" w:rsidRPr="00D01E89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  <w:lang w:val="pt-BR"/>
        </w:rPr>
        <w:t>/45/2023/04/Rev2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532E30E5" w14:textId="689F2A1B" w:rsidR="0019012A" w:rsidRPr="00D01E89" w:rsidRDefault="00895CA3">
      <w:pPr>
        <w:pStyle w:val="ListParagraph"/>
        <w:numPr>
          <w:ilvl w:val="1"/>
          <w:numId w:val="1"/>
        </w:numPr>
        <w:spacing w:before="240"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A </w:t>
      </w:r>
      <w:r w:rsidR="009A18C3" w:rsidRPr="00D01E89">
        <w:rPr>
          <w:rFonts w:ascii="Arial" w:hAnsi="Arial" w:cs="Arial"/>
          <w:sz w:val="24"/>
          <w:szCs w:val="24"/>
          <w:lang w:val="pt-BR"/>
        </w:rPr>
        <w:t xml:space="preserve">reunião analisou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o </w:t>
      </w:r>
      <w:r w:rsidR="008C64E2" w:rsidRPr="00D01E89">
        <w:rPr>
          <w:rFonts w:ascii="Arial" w:hAnsi="Arial" w:cs="Arial"/>
          <w:sz w:val="24"/>
          <w:szCs w:val="24"/>
          <w:lang w:val="pt-BR"/>
        </w:rPr>
        <w:t>projet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8C64E2" w:rsidRPr="00D01E89">
        <w:rPr>
          <w:rFonts w:ascii="Arial" w:hAnsi="Arial" w:cs="Arial"/>
          <w:sz w:val="24"/>
          <w:szCs w:val="24"/>
          <w:lang w:val="pt-BR"/>
        </w:rPr>
        <w:t xml:space="preserve">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8C64E2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8B08C3" w:rsidRPr="00D01E89">
        <w:rPr>
          <w:rFonts w:ascii="Arial" w:hAnsi="Arial" w:cs="Arial"/>
          <w:sz w:val="24"/>
          <w:szCs w:val="24"/>
          <w:lang w:val="pt-BR"/>
        </w:rPr>
        <w:t xml:space="preserve">ponto </w:t>
      </w:r>
      <w:r w:rsidR="009A18C3" w:rsidRPr="00D01E89">
        <w:rPr>
          <w:rFonts w:ascii="Arial" w:hAnsi="Arial" w:cs="Arial"/>
          <w:sz w:val="24"/>
          <w:szCs w:val="24"/>
          <w:lang w:val="pt-BR"/>
        </w:rPr>
        <w:t>por</w:t>
      </w:r>
      <w:r w:rsidR="008B08C3" w:rsidRPr="00D01E89">
        <w:rPr>
          <w:rFonts w:ascii="Arial" w:hAnsi="Arial" w:cs="Arial"/>
          <w:sz w:val="24"/>
          <w:szCs w:val="24"/>
          <w:lang w:val="pt-BR"/>
        </w:rPr>
        <w:t xml:space="preserve"> ponto. </w:t>
      </w:r>
      <w:r w:rsidR="002278D9" w:rsidRPr="00D01E89">
        <w:rPr>
          <w:rFonts w:ascii="Arial" w:hAnsi="Arial" w:cs="Arial"/>
          <w:sz w:val="24"/>
          <w:szCs w:val="24"/>
          <w:lang w:val="pt-BR"/>
        </w:rPr>
        <w:t xml:space="preserve">O presente relatório sintetiza </w:t>
      </w:r>
      <w:r w:rsidR="00AE33EB" w:rsidRPr="00D01E89">
        <w:rPr>
          <w:rFonts w:ascii="Arial" w:hAnsi="Arial" w:cs="Arial"/>
          <w:sz w:val="24"/>
          <w:szCs w:val="24"/>
          <w:lang w:val="pt-BR"/>
        </w:rPr>
        <w:t xml:space="preserve">as </w:t>
      </w:r>
      <w:r w:rsidR="002278D9" w:rsidRPr="00D01E89">
        <w:rPr>
          <w:rFonts w:ascii="Arial" w:hAnsi="Arial" w:cs="Arial"/>
          <w:sz w:val="24"/>
          <w:szCs w:val="24"/>
          <w:lang w:val="pt-BR"/>
        </w:rPr>
        <w:t xml:space="preserve">principais </w:t>
      </w:r>
      <w:r w:rsidR="00AE33EB" w:rsidRPr="00D01E89">
        <w:rPr>
          <w:rFonts w:ascii="Arial" w:hAnsi="Arial" w:cs="Arial"/>
          <w:sz w:val="24"/>
          <w:szCs w:val="24"/>
          <w:lang w:val="pt-BR"/>
        </w:rPr>
        <w:t xml:space="preserve">observações e </w:t>
      </w:r>
      <w:r w:rsidR="00FC000A" w:rsidRPr="00D01E89">
        <w:rPr>
          <w:rFonts w:ascii="Arial" w:hAnsi="Arial" w:cs="Arial"/>
          <w:sz w:val="24"/>
          <w:szCs w:val="24"/>
          <w:lang w:val="pt-BR"/>
        </w:rPr>
        <w:t xml:space="preserve">conclusões </w:t>
      </w:r>
      <w:r w:rsidR="00300072" w:rsidRPr="00D01E89">
        <w:rPr>
          <w:rFonts w:ascii="Arial" w:hAnsi="Arial" w:cs="Arial"/>
          <w:sz w:val="24"/>
          <w:szCs w:val="24"/>
          <w:lang w:val="pt-BR"/>
        </w:rPr>
        <w:t xml:space="preserve">da segunda sessão </w:t>
      </w:r>
      <w:r w:rsidR="00607548" w:rsidRPr="00D01E89">
        <w:rPr>
          <w:rFonts w:ascii="Arial" w:hAnsi="Arial" w:cs="Arial"/>
          <w:sz w:val="24"/>
          <w:szCs w:val="24"/>
          <w:lang w:val="pt-BR"/>
        </w:rPr>
        <w:t>específica</w:t>
      </w:r>
      <w:r w:rsidR="00300072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AE33EB" w:rsidRPr="00D01E89">
        <w:rPr>
          <w:rFonts w:ascii="Arial" w:hAnsi="Arial" w:cs="Arial"/>
          <w:sz w:val="24"/>
          <w:szCs w:val="24"/>
          <w:lang w:val="pt-BR"/>
        </w:rPr>
        <w:t xml:space="preserve">como segue: </w:t>
      </w:r>
    </w:p>
    <w:p w14:paraId="2E169DE1" w14:textId="77777777" w:rsidR="0019012A" w:rsidRDefault="00895CA3">
      <w:pPr>
        <w:pStyle w:val="ListParagraph"/>
        <w:numPr>
          <w:ilvl w:val="2"/>
          <w:numId w:val="1"/>
        </w:numPr>
        <w:spacing w:before="240" w:after="0" w:line="312" w:lineRule="auto"/>
        <w:ind w:hanging="1224"/>
        <w:jc w:val="both"/>
        <w:rPr>
          <w:rFonts w:ascii="Arial Bold" w:hAnsi="Arial Bold" w:cs="Arial"/>
          <w:b/>
          <w:bCs/>
          <w:caps/>
          <w:sz w:val="24"/>
          <w:szCs w:val="24"/>
        </w:rPr>
      </w:pPr>
      <w:r w:rsidRPr="00F101A0">
        <w:rPr>
          <w:rFonts w:ascii="Arial Bold" w:hAnsi="Arial Bold" w:cs="Arial"/>
          <w:b/>
          <w:bCs/>
          <w:caps/>
          <w:sz w:val="24"/>
          <w:szCs w:val="24"/>
        </w:rPr>
        <w:t xml:space="preserve">Título </w:t>
      </w:r>
    </w:p>
    <w:p w14:paraId="34B38EAA" w14:textId="77777777" w:rsidR="0019012A" w:rsidRPr="00D01E89" w:rsidRDefault="009E3703">
      <w:pPr>
        <w:spacing w:before="240" w:after="0" w:line="312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Não há comentários dos </w:t>
      </w:r>
      <w:r w:rsidR="006E0AA7" w:rsidRPr="00D01E89">
        <w:rPr>
          <w:rFonts w:ascii="Arial" w:hAnsi="Arial" w:cs="Arial"/>
          <w:sz w:val="24"/>
          <w:szCs w:val="24"/>
          <w:lang w:val="pt-BR"/>
        </w:rPr>
        <w:t>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6E0AA7" w:rsidRPr="00D01E89">
        <w:rPr>
          <w:rFonts w:ascii="Arial" w:hAnsi="Arial" w:cs="Arial"/>
          <w:sz w:val="24"/>
          <w:szCs w:val="24"/>
          <w:lang w:val="pt-BR"/>
        </w:rPr>
        <w:t>Membros</w:t>
      </w:r>
      <w:r w:rsidR="00EA31EB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6774E600" w14:textId="77777777" w:rsidR="0019012A" w:rsidRPr="00D01E89" w:rsidRDefault="00895CA3">
      <w:pPr>
        <w:shd w:val="clear" w:color="auto" w:fill="D9D9D9" w:themeFill="background1" w:themeFillShade="D9"/>
        <w:spacing w:before="240" w:after="0" w:line="312" w:lineRule="auto"/>
        <w:ind w:left="851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D01E89">
        <w:rPr>
          <w:rFonts w:ascii="Arial" w:hAnsi="Arial" w:cs="Arial"/>
          <w:sz w:val="24"/>
          <w:szCs w:val="24"/>
          <w:u w:val="single"/>
          <w:lang w:val="pt-BR"/>
        </w:rPr>
        <w:t>Conclusão 1</w:t>
      </w:r>
      <w:r w:rsidR="000A408E"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: </w:t>
      </w:r>
      <w:r w:rsidR="00C93A28" w:rsidRPr="00D01E89">
        <w:rPr>
          <w:rFonts w:ascii="Arial" w:hAnsi="Arial" w:cs="Arial"/>
          <w:sz w:val="24"/>
          <w:szCs w:val="24"/>
          <w:u w:val="single"/>
          <w:lang w:val="pt-BR"/>
        </w:rPr>
        <w:t>Título</w:t>
      </w:r>
    </w:p>
    <w:p w14:paraId="0AA86A77" w14:textId="77777777" w:rsidR="0019012A" w:rsidRPr="00D01E89" w:rsidRDefault="00895CA3">
      <w:pPr>
        <w:shd w:val="clear" w:color="auto" w:fill="D9D9D9" w:themeFill="background1" w:themeFillShade="D9"/>
        <w:spacing w:before="240" w:after="0" w:line="312" w:lineRule="auto"/>
        <w:ind w:left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Não são propostas alterações. </w:t>
      </w:r>
    </w:p>
    <w:p w14:paraId="7A09103F" w14:textId="77777777" w:rsidR="0019012A" w:rsidRDefault="00895CA3">
      <w:pPr>
        <w:pStyle w:val="ListParagraph"/>
        <w:numPr>
          <w:ilvl w:val="2"/>
          <w:numId w:val="1"/>
        </w:numPr>
        <w:spacing w:before="240" w:after="0" w:line="312" w:lineRule="auto"/>
        <w:ind w:hanging="1224"/>
        <w:jc w:val="both"/>
        <w:rPr>
          <w:rFonts w:ascii="Arial Bold" w:hAnsi="Arial Bold" w:cs="Arial"/>
          <w:b/>
          <w:bCs/>
          <w:caps/>
          <w:sz w:val="24"/>
          <w:szCs w:val="24"/>
        </w:rPr>
      </w:pPr>
      <w:r w:rsidRPr="00F101A0">
        <w:rPr>
          <w:rFonts w:ascii="Arial Bold" w:hAnsi="Arial Bold" w:cs="Arial"/>
          <w:b/>
          <w:bCs/>
          <w:caps/>
          <w:sz w:val="24"/>
          <w:szCs w:val="24"/>
        </w:rPr>
        <w:t>Parágrafo de abertura/Chapeau</w:t>
      </w:r>
    </w:p>
    <w:p w14:paraId="48C149DB" w14:textId="77777777" w:rsidR="0019012A" w:rsidRPr="00D01E89" w:rsidRDefault="00895CA3">
      <w:pPr>
        <w:spacing w:before="240" w:after="0" w:line="312" w:lineRule="auto"/>
        <w:ind w:left="85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M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embros </w:t>
      </w:r>
      <w:r w:rsidR="00A84C79" w:rsidRPr="00D01E89">
        <w:rPr>
          <w:rFonts w:ascii="Arial" w:hAnsi="Arial" w:cs="Arial"/>
          <w:sz w:val="24"/>
          <w:szCs w:val="24"/>
          <w:lang w:val="pt-BR"/>
        </w:rPr>
        <w:t xml:space="preserve">reconheceram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que o parágrafo de abertura </w:t>
      </w:r>
      <w:r w:rsidR="00A84C79" w:rsidRPr="00D01E89">
        <w:rPr>
          <w:rFonts w:ascii="Arial" w:hAnsi="Arial" w:cs="Arial"/>
          <w:sz w:val="24"/>
          <w:szCs w:val="24"/>
          <w:lang w:val="pt-BR"/>
        </w:rPr>
        <w:t xml:space="preserve">(chapeau) </w:t>
      </w:r>
      <w:r w:rsidR="009A18C3" w:rsidRPr="00D01E89">
        <w:rPr>
          <w:rFonts w:ascii="Arial" w:hAnsi="Arial" w:cs="Arial"/>
          <w:sz w:val="24"/>
          <w:szCs w:val="24"/>
          <w:lang w:val="pt-BR"/>
        </w:rPr>
        <w:t xml:space="preserve">provinha </w:t>
      </w:r>
      <w:r w:rsidR="00BD1BC1" w:rsidRPr="00D01E89">
        <w:rPr>
          <w:rFonts w:ascii="Arial" w:hAnsi="Arial" w:cs="Arial"/>
          <w:sz w:val="24"/>
          <w:szCs w:val="24"/>
          <w:lang w:val="pt-BR"/>
        </w:rPr>
        <w:t xml:space="preserve">do Protocolo </w:t>
      </w:r>
      <w:r w:rsidR="00A84C79" w:rsidRPr="00D01E89">
        <w:rPr>
          <w:rFonts w:ascii="Arial" w:hAnsi="Arial" w:cs="Arial"/>
          <w:sz w:val="24"/>
          <w:szCs w:val="24"/>
          <w:lang w:val="pt-BR"/>
        </w:rPr>
        <w:t xml:space="preserve">da SADC </w:t>
      </w:r>
      <w:r w:rsidR="00BD1BC1" w:rsidRPr="00D01E89">
        <w:rPr>
          <w:rFonts w:ascii="Arial" w:hAnsi="Arial" w:cs="Arial"/>
          <w:sz w:val="24"/>
          <w:szCs w:val="24"/>
          <w:lang w:val="pt-BR"/>
        </w:rPr>
        <w:t xml:space="preserve">sobre o Comércio de </w:t>
      </w:r>
      <w:r w:rsidR="008B6ED6" w:rsidRPr="00D01E89">
        <w:rPr>
          <w:rFonts w:ascii="Arial" w:hAnsi="Arial" w:cs="Arial"/>
          <w:sz w:val="24"/>
          <w:szCs w:val="24"/>
          <w:lang w:val="pt-BR"/>
        </w:rPr>
        <w:t xml:space="preserve">Serviços e </w:t>
      </w:r>
      <w:r w:rsidR="00A84C79" w:rsidRPr="00D01E89">
        <w:rPr>
          <w:rFonts w:ascii="Arial" w:hAnsi="Arial" w:cs="Arial"/>
          <w:sz w:val="24"/>
          <w:szCs w:val="24"/>
          <w:lang w:val="pt-BR"/>
        </w:rPr>
        <w:t xml:space="preserve">não fizeram quaisquer comentários ou </w:t>
      </w:r>
      <w:r w:rsidR="008B6ED6" w:rsidRPr="00D01E89">
        <w:rPr>
          <w:rFonts w:ascii="Arial" w:hAnsi="Arial" w:cs="Arial"/>
          <w:sz w:val="24"/>
          <w:szCs w:val="24"/>
          <w:lang w:val="pt-BR"/>
        </w:rPr>
        <w:t>sugestões</w:t>
      </w:r>
      <w:r w:rsidR="00A84C79" w:rsidRPr="00D01E89">
        <w:rPr>
          <w:rFonts w:ascii="Arial" w:hAnsi="Arial" w:cs="Arial"/>
          <w:sz w:val="24"/>
          <w:szCs w:val="24"/>
          <w:lang w:val="pt-BR"/>
        </w:rPr>
        <w:t>.</w:t>
      </w:r>
    </w:p>
    <w:p w14:paraId="3A3B31E6" w14:textId="77777777" w:rsidR="0019012A" w:rsidRPr="00D01E89" w:rsidRDefault="00895CA3">
      <w:pPr>
        <w:shd w:val="clear" w:color="auto" w:fill="D9D9D9" w:themeFill="background1" w:themeFillShade="D9"/>
        <w:spacing w:before="240" w:after="0" w:line="312" w:lineRule="auto"/>
        <w:ind w:left="850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D01E89">
        <w:rPr>
          <w:rFonts w:ascii="Arial" w:hAnsi="Arial" w:cs="Arial"/>
          <w:sz w:val="24"/>
          <w:szCs w:val="24"/>
          <w:u w:val="single"/>
          <w:lang w:val="pt-BR"/>
        </w:rPr>
        <w:t>Conclusão 2</w:t>
      </w:r>
      <w:r w:rsidR="00043AC4"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: </w:t>
      </w:r>
      <w:r w:rsidR="00C93A28" w:rsidRPr="00D01E89">
        <w:rPr>
          <w:rFonts w:ascii="Arial" w:hAnsi="Arial" w:cs="Arial"/>
          <w:sz w:val="24"/>
          <w:szCs w:val="24"/>
          <w:u w:val="single"/>
          <w:lang w:val="pt-BR"/>
        </w:rPr>
        <w:t>Parágrafo de abertura/Chapeau</w:t>
      </w:r>
    </w:p>
    <w:p w14:paraId="0BF60825" w14:textId="77777777" w:rsidR="0019012A" w:rsidRPr="00D01E89" w:rsidRDefault="007F35D0">
      <w:pPr>
        <w:shd w:val="clear" w:color="auto" w:fill="D9D9D9" w:themeFill="background1" w:themeFillShade="D9"/>
        <w:spacing w:before="240" w:after="0" w:line="312" w:lineRule="auto"/>
        <w:ind w:left="85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Não são </w:t>
      </w:r>
      <w:r w:rsidR="00895CA3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propostas </w:t>
      </w:r>
      <w:r w:rsidR="00175E0B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>alterações</w:t>
      </w:r>
      <w:r w:rsidR="008B6ED6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>.</w:t>
      </w:r>
    </w:p>
    <w:p w14:paraId="78A320C5" w14:textId="77777777" w:rsidR="009E3703" w:rsidRPr="00D01E89" w:rsidRDefault="009E3703" w:rsidP="000953A4">
      <w:pPr>
        <w:spacing w:after="0" w:line="312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</w:p>
    <w:p w14:paraId="252D21A6" w14:textId="77777777" w:rsidR="0019012A" w:rsidRDefault="00895CA3">
      <w:pPr>
        <w:pStyle w:val="ListParagraph"/>
        <w:numPr>
          <w:ilvl w:val="2"/>
          <w:numId w:val="1"/>
        </w:numPr>
        <w:spacing w:after="0" w:line="312" w:lineRule="auto"/>
        <w:ind w:left="900" w:hanging="900"/>
        <w:jc w:val="both"/>
        <w:rPr>
          <w:rFonts w:ascii="Arial Bold" w:hAnsi="Arial Bold" w:cs="Arial"/>
          <w:b/>
          <w:bCs/>
          <w:caps/>
          <w:sz w:val="24"/>
          <w:szCs w:val="24"/>
        </w:rPr>
      </w:pPr>
      <w:r w:rsidRPr="00F101A0">
        <w:rPr>
          <w:rFonts w:ascii="Arial Bold" w:hAnsi="Arial Bold" w:cs="Arial"/>
          <w:b/>
          <w:bCs/>
          <w:caps/>
          <w:sz w:val="24"/>
          <w:szCs w:val="24"/>
        </w:rPr>
        <w:t xml:space="preserve">Introdução </w:t>
      </w:r>
      <w:r w:rsidR="007F504A" w:rsidRPr="00F101A0">
        <w:rPr>
          <w:rFonts w:ascii="Arial Bold" w:hAnsi="Arial Bold" w:cs="Arial"/>
          <w:b/>
          <w:bCs/>
          <w:caps/>
          <w:sz w:val="24"/>
          <w:szCs w:val="24"/>
        </w:rPr>
        <w:t>[Secção 1]</w:t>
      </w:r>
    </w:p>
    <w:p w14:paraId="4F70AF5A" w14:textId="77777777" w:rsidR="0019012A" w:rsidRPr="00D01E89" w:rsidRDefault="00895CA3">
      <w:pPr>
        <w:spacing w:before="240" w:after="0" w:line="312" w:lineRule="auto"/>
        <w:ind w:left="851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Ponto 1.2 </w:t>
      </w:r>
      <w:r w:rsidR="00EA5A4D" w:rsidRPr="00D01E89">
        <w:rPr>
          <w:rFonts w:ascii="Arial" w:hAnsi="Arial" w:cs="Arial"/>
          <w:b/>
          <w:bCs/>
          <w:sz w:val="24"/>
          <w:szCs w:val="24"/>
          <w:lang w:val="pt-BR"/>
        </w:rPr>
        <w:t>sobre "</w:t>
      </w:r>
      <w:r w:rsidR="00EA5A4D" w:rsidRPr="00D01E89">
        <w:rPr>
          <w:rFonts w:ascii="Arial" w:hAnsi="Arial" w:cs="Arial"/>
          <w:b/>
          <w:bCs/>
          <w:i/>
          <w:sz w:val="24"/>
          <w:szCs w:val="24"/>
          <w:lang w:val="pt-BR"/>
        </w:rPr>
        <w:t>instalações de formação</w:t>
      </w:r>
      <w:r w:rsidR="00EA5A4D" w:rsidRPr="00D01E89">
        <w:rPr>
          <w:rFonts w:ascii="Arial" w:hAnsi="Arial" w:cs="Arial"/>
          <w:b/>
          <w:bCs/>
          <w:sz w:val="24"/>
          <w:szCs w:val="24"/>
          <w:lang w:val="pt-BR"/>
        </w:rPr>
        <w:t>"</w:t>
      </w:r>
    </w:p>
    <w:p w14:paraId="3103E590" w14:textId="77777777" w:rsidR="0019012A" w:rsidRPr="00D01E89" w:rsidRDefault="00895CA3">
      <w:pPr>
        <w:pStyle w:val="ListParagraph"/>
        <w:numPr>
          <w:ilvl w:val="0"/>
          <w:numId w:val="9"/>
        </w:numPr>
        <w:spacing w:before="240" w:after="0" w:line="312" w:lineRule="auto"/>
        <w:ind w:left="1530" w:hanging="679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>Alguns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DA2879" w:rsidRPr="00D01E89">
        <w:rPr>
          <w:rFonts w:ascii="Arial" w:hAnsi="Arial" w:cs="Arial"/>
          <w:sz w:val="24"/>
          <w:szCs w:val="24"/>
          <w:lang w:val="pt-BR"/>
        </w:rPr>
        <w:t xml:space="preserve">propuseram a supressão dos </w:t>
      </w:r>
      <w:r w:rsidR="003B47FF" w:rsidRPr="00D01E89">
        <w:rPr>
          <w:rFonts w:ascii="Arial" w:hAnsi="Arial" w:cs="Arial"/>
          <w:sz w:val="24"/>
          <w:szCs w:val="24"/>
          <w:lang w:val="pt-BR"/>
        </w:rPr>
        <w:t>"</w:t>
      </w:r>
      <w:r w:rsidR="00880694">
        <w:rPr>
          <w:rFonts w:ascii="Arial" w:hAnsi="Arial" w:cs="Arial"/>
          <w:i/>
          <w:iCs/>
          <w:sz w:val="24"/>
          <w:szCs w:val="24"/>
          <w:lang w:val="pt-BR"/>
        </w:rPr>
        <w:t>instalações</w:t>
      </w:r>
      <w:r w:rsidR="003B47FF" w:rsidRPr="00880694">
        <w:rPr>
          <w:rFonts w:ascii="Arial" w:hAnsi="Arial" w:cs="Arial"/>
          <w:i/>
          <w:iCs/>
          <w:sz w:val="24"/>
          <w:szCs w:val="24"/>
          <w:lang w:val="pt-BR"/>
        </w:rPr>
        <w:t xml:space="preserve"> de</w:t>
      </w:r>
      <w:r w:rsidR="003B47FF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3B47FF" w:rsidRPr="00D01E89">
        <w:rPr>
          <w:rFonts w:ascii="Arial" w:hAnsi="Arial" w:cs="Arial"/>
          <w:i/>
          <w:iCs/>
          <w:sz w:val="24"/>
          <w:szCs w:val="24"/>
          <w:lang w:val="pt-BR"/>
        </w:rPr>
        <w:t>formação</w:t>
      </w:r>
      <w:r w:rsidR="003B47FF" w:rsidRPr="00D01E89">
        <w:rPr>
          <w:rFonts w:ascii="Arial" w:hAnsi="Arial" w:cs="Arial"/>
          <w:sz w:val="24"/>
          <w:szCs w:val="24"/>
          <w:lang w:val="pt-BR"/>
        </w:rPr>
        <w:t xml:space="preserve">" do </w:t>
      </w:r>
      <w:r w:rsidR="007B779A" w:rsidRPr="00D01E89">
        <w:rPr>
          <w:rFonts w:ascii="Arial" w:hAnsi="Arial" w:cs="Arial"/>
          <w:sz w:val="24"/>
          <w:szCs w:val="24"/>
          <w:lang w:val="pt-BR"/>
        </w:rPr>
        <w:t xml:space="preserve">âmbito da </w:t>
      </w:r>
      <w:r w:rsidR="00B615C0" w:rsidRPr="00D01E89">
        <w:rPr>
          <w:rFonts w:ascii="Arial" w:hAnsi="Arial" w:cs="Arial"/>
          <w:sz w:val="24"/>
          <w:szCs w:val="24"/>
          <w:lang w:val="pt-BR"/>
        </w:rPr>
        <w:t xml:space="preserve">definição de </w:t>
      </w:r>
      <w:r w:rsidR="009A18C3" w:rsidRPr="00D01E89">
        <w:rPr>
          <w:rFonts w:ascii="Arial" w:hAnsi="Arial" w:cs="Arial"/>
          <w:sz w:val="24"/>
          <w:szCs w:val="24"/>
          <w:lang w:val="pt-BR"/>
        </w:rPr>
        <w:t>"</w:t>
      </w:r>
      <w:r w:rsidR="00B615C0" w:rsidRPr="00D01E89">
        <w:rPr>
          <w:rFonts w:ascii="Arial" w:hAnsi="Arial" w:cs="Arial"/>
          <w:sz w:val="24"/>
          <w:szCs w:val="24"/>
          <w:lang w:val="pt-BR"/>
        </w:rPr>
        <w:t>sistema educativo</w:t>
      </w:r>
      <w:r w:rsidR="009A18C3" w:rsidRPr="00D01E89">
        <w:rPr>
          <w:rFonts w:ascii="Arial" w:hAnsi="Arial" w:cs="Arial"/>
          <w:sz w:val="24"/>
          <w:szCs w:val="24"/>
          <w:lang w:val="pt-BR"/>
        </w:rPr>
        <w:t>"</w:t>
      </w:r>
      <w:r w:rsidR="00E51D39" w:rsidRPr="00D01E89">
        <w:rPr>
          <w:rFonts w:ascii="Arial" w:hAnsi="Arial" w:cs="Arial"/>
          <w:sz w:val="24"/>
          <w:szCs w:val="24"/>
          <w:lang w:val="pt-BR"/>
        </w:rPr>
        <w:t>, devido à complexidade da harmonização dos centros de formação em toda a região</w:t>
      </w:r>
      <w:r w:rsidR="0007103A" w:rsidRPr="00D01E89">
        <w:rPr>
          <w:rFonts w:ascii="Arial" w:hAnsi="Arial" w:cs="Arial"/>
          <w:sz w:val="24"/>
          <w:szCs w:val="24"/>
          <w:lang w:val="pt-BR"/>
        </w:rPr>
        <w:t xml:space="preserve">, não obstante o facto de, em algumas </w:t>
      </w:r>
      <w:r w:rsidR="009A18C3" w:rsidRPr="00D01E89">
        <w:rPr>
          <w:rFonts w:ascii="Arial" w:hAnsi="Arial" w:cs="Arial"/>
          <w:sz w:val="24"/>
          <w:szCs w:val="24"/>
          <w:lang w:val="pt-BR"/>
        </w:rPr>
        <w:t xml:space="preserve">profissões sectoriais </w:t>
      </w:r>
      <w:r w:rsidR="00512F96" w:rsidRPr="00D01E89">
        <w:rPr>
          <w:rFonts w:ascii="Arial" w:hAnsi="Arial" w:cs="Arial"/>
          <w:sz w:val="24"/>
          <w:szCs w:val="24"/>
          <w:lang w:val="pt-BR"/>
        </w:rPr>
        <w:t xml:space="preserve">específicas </w:t>
      </w:r>
      <w:r w:rsidR="001B3A26" w:rsidRPr="00D01E89">
        <w:rPr>
          <w:rFonts w:ascii="Arial" w:hAnsi="Arial" w:cs="Arial"/>
          <w:sz w:val="24"/>
          <w:szCs w:val="24"/>
          <w:lang w:val="pt-BR"/>
        </w:rPr>
        <w:t>(profissões médicas ou relacionadas com a saúde</w:t>
      </w:r>
      <w:r w:rsidR="006F6901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44593E" w:rsidRPr="00D01E89">
        <w:rPr>
          <w:rFonts w:ascii="Arial" w:hAnsi="Arial" w:cs="Arial"/>
          <w:sz w:val="24"/>
          <w:szCs w:val="24"/>
          <w:lang w:val="pt-BR"/>
        </w:rPr>
        <w:t xml:space="preserve">veterinária, </w:t>
      </w:r>
      <w:r w:rsidR="006F6901" w:rsidRPr="00D01E89">
        <w:rPr>
          <w:rFonts w:ascii="Arial" w:hAnsi="Arial" w:cs="Arial"/>
          <w:sz w:val="24"/>
          <w:szCs w:val="24"/>
          <w:lang w:val="pt-BR"/>
        </w:rPr>
        <w:t xml:space="preserve">engenharia), os centros de formação </w:t>
      </w:r>
      <w:r w:rsidR="009A18C3" w:rsidRPr="00D01E89">
        <w:rPr>
          <w:rFonts w:ascii="Arial" w:hAnsi="Arial" w:cs="Arial"/>
          <w:sz w:val="24"/>
          <w:szCs w:val="24"/>
          <w:lang w:val="pt-BR"/>
        </w:rPr>
        <w:t xml:space="preserve">serem </w:t>
      </w:r>
      <w:r w:rsidR="006F6901" w:rsidRPr="00D01E89">
        <w:rPr>
          <w:rFonts w:ascii="Arial" w:hAnsi="Arial" w:cs="Arial"/>
          <w:sz w:val="24"/>
          <w:szCs w:val="24"/>
          <w:lang w:val="pt-BR"/>
        </w:rPr>
        <w:t xml:space="preserve">fundamentais </w:t>
      </w:r>
      <w:r w:rsidR="00345A47" w:rsidRPr="00D01E89">
        <w:rPr>
          <w:rFonts w:ascii="Arial" w:hAnsi="Arial" w:cs="Arial"/>
          <w:sz w:val="24"/>
          <w:szCs w:val="24"/>
          <w:lang w:val="pt-BR"/>
        </w:rPr>
        <w:t xml:space="preserve">para a </w:t>
      </w:r>
      <w:r w:rsidR="009A18C3" w:rsidRPr="00D01E89">
        <w:rPr>
          <w:rFonts w:ascii="Arial" w:hAnsi="Arial" w:cs="Arial"/>
          <w:sz w:val="24"/>
          <w:szCs w:val="24"/>
          <w:lang w:val="pt-BR"/>
        </w:rPr>
        <w:t xml:space="preserve">obtenção </w:t>
      </w:r>
      <w:r w:rsidR="00345A47" w:rsidRPr="00D01E89">
        <w:rPr>
          <w:rFonts w:ascii="Arial" w:hAnsi="Arial" w:cs="Arial"/>
          <w:sz w:val="24"/>
          <w:szCs w:val="24"/>
          <w:lang w:val="pt-BR"/>
        </w:rPr>
        <w:t xml:space="preserve">de </w:t>
      </w:r>
      <w:r w:rsidR="009A18C3" w:rsidRPr="00D01E89">
        <w:rPr>
          <w:rFonts w:ascii="Arial" w:hAnsi="Arial" w:cs="Arial"/>
          <w:sz w:val="24"/>
          <w:szCs w:val="24"/>
          <w:lang w:val="pt-BR"/>
        </w:rPr>
        <w:t xml:space="preserve">resultados </w:t>
      </w:r>
      <w:r w:rsidR="00345A47" w:rsidRPr="00D01E89">
        <w:rPr>
          <w:rFonts w:ascii="Arial" w:hAnsi="Arial" w:cs="Arial"/>
          <w:sz w:val="24"/>
          <w:szCs w:val="24"/>
          <w:lang w:val="pt-BR"/>
        </w:rPr>
        <w:t>de aprendizagem</w:t>
      </w:r>
      <w:r w:rsidR="006F6901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="003E58FD" w:rsidRPr="00D01E89">
        <w:rPr>
          <w:rFonts w:ascii="Arial" w:hAnsi="Arial" w:cs="Arial"/>
          <w:sz w:val="24"/>
          <w:szCs w:val="24"/>
          <w:lang w:val="pt-BR"/>
        </w:rPr>
        <w:t xml:space="preserve">Foi argumentado </w:t>
      </w:r>
      <w:r w:rsidR="006B1EFF" w:rsidRPr="00D01E89">
        <w:rPr>
          <w:rFonts w:ascii="Arial" w:hAnsi="Arial" w:cs="Arial"/>
          <w:sz w:val="24"/>
          <w:szCs w:val="24"/>
          <w:lang w:val="pt-BR"/>
        </w:rPr>
        <w:t>que o termo "</w:t>
      </w:r>
      <w:r w:rsidR="00880694">
        <w:rPr>
          <w:rFonts w:ascii="Arial" w:hAnsi="Arial" w:cs="Arial"/>
          <w:i/>
          <w:iCs/>
          <w:sz w:val="24"/>
          <w:szCs w:val="24"/>
          <w:lang w:val="pt-BR"/>
        </w:rPr>
        <w:t>instalação</w:t>
      </w:r>
      <w:r w:rsidR="006B1EFF" w:rsidRPr="00D01E89">
        <w:rPr>
          <w:rFonts w:ascii="Arial" w:hAnsi="Arial" w:cs="Arial"/>
          <w:sz w:val="24"/>
          <w:szCs w:val="24"/>
          <w:lang w:val="pt-BR"/>
        </w:rPr>
        <w:t xml:space="preserve">"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se referia </w:t>
      </w:r>
      <w:r w:rsidR="006B1EFF" w:rsidRPr="00D01E89">
        <w:rPr>
          <w:rFonts w:ascii="Arial" w:hAnsi="Arial" w:cs="Arial"/>
          <w:sz w:val="24"/>
          <w:szCs w:val="24"/>
          <w:lang w:val="pt-BR"/>
        </w:rPr>
        <w:t xml:space="preserve">às comodidades, ao </w:t>
      </w:r>
      <w:r w:rsidR="00670540" w:rsidRPr="00D01E89">
        <w:rPr>
          <w:rFonts w:ascii="Arial" w:hAnsi="Arial" w:cs="Arial"/>
          <w:sz w:val="24"/>
          <w:szCs w:val="24"/>
          <w:lang w:val="pt-BR"/>
        </w:rPr>
        <w:t xml:space="preserve">edifício, ao </w:t>
      </w:r>
      <w:r w:rsidR="00640A41" w:rsidRPr="00D01E89">
        <w:rPr>
          <w:rFonts w:ascii="Arial" w:hAnsi="Arial" w:cs="Arial"/>
          <w:sz w:val="24"/>
          <w:szCs w:val="24"/>
          <w:lang w:val="pt-BR"/>
        </w:rPr>
        <w:t xml:space="preserve">equipamento, </w:t>
      </w:r>
      <w:r w:rsidR="003E58FD" w:rsidRPr="00D01E89">
        <w:rPr>
          <w:rFonts w:ascii="Arial" w:hAnsi="Arial" w:cs="Arial"/>
          <w:sz w:val="24"/>
          <w:szCs w:val="24"/>
          <w:lang w:val="pt-BR"/>
        </w:rPr>
        <w:t>etc.</w:t>
      </w:r>
      <w:r w:rsidR="008A491C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9A18C3" w:rsidRPr="00D01E89">
        <w:rPr>
          <w:rFonts w:ascii="Arial" w:hAnsi="Arial" w:cs="Arial"/>
          <w:sz w:val="24"/>
          <w:szCs w:val="24"/>
          <w:lang w:val="pt-BR"/>
        </w:rPr>
        <w:t>e que</w:t>
      </w:r>
      <w:r w:rsidR="008A491C" w:rsidRPr="00D01E89">
        <w:rPr>
          <w:rFonts w:ascii="Arial" w:hAnsi="Arial" w:cs="Arial"/>
          <w:sz w:val="24"/>
          <w:szCs w:val="24"/>
          <w:lang w:val="pt-BR"/>
        </w:rPr>
        <w:t xml:space="preserve">, tendo em conta </w:t>
      </w:r>
      <w:r w:rsidR="009A18C3" w:rsidRPr="00D01E89">
        <w:rPr>
          <w:rFonts w:ascii="Arial" w:hAnsi="Arial" w:cs="Arial"/>
          <w:sz w:val="24"/>
          <w:szCs w:val="24"/>
          <w:lang w:val="pt-BR"/>
        </w:rPr>
        <w:t xml:space="preserve">os </w:t>
      </w:r>
      <w:r w:rsidR="008A491C" w:rsidRPr="00D01E89">
        <w:rPr>
          <w:rFonts w:ascii="Arial" w:hAnsi="Arial" w:cs="Arial"/>
          <w:sz w:val="24"/>
          <w:szCs w:val="24"/>
          <w:lang w:val="pt-BR"/>
        </w:rPr>
        <w:t xml:space="preserve">elevados </w:t>
      </w:r>
      <w:r w:rsidR="005E247A" w:rsidRPr="00D01E89">
        <w:rPr>
          <w:rFonts w:ascii="Arial" w:hAnsi="Arial" w:cs="Arial"/>
          <w:sz w:val="24"/>
          <w:szCs w:val="24"/>
          <w:lang w:val="pt-BR"/>
        </w:rPr>
        <w:t xml:space="preserve">custos </w:t>
      </w:r>
      <w:r w:rsidR="00175E3E" w:rsidRPr="00D01E89">
        <w:rPr>
          <w:rFonts w:ascii="Arial" w:hAnsi="Arial" w:cs="Arial"/>
          <w:sz w:val="24"/>
          <w:szCs w:val="24"/>
          <w:lang w:val="pt-BR"/>
        </w:rPr>
        <w:t xml:space="preserve">da </w:t>
      </w:r>
      <w:r w:rsidR="008A491C" w:rsidRPr="00D01E89">
        <w:rPr>
          <w:rFonts w:ascii="Arial" w:hAnsi="Arial" w:cs="Arial"/>
          <w:sz w:val="24"/>
          <w:szCs w:val="24"/>
          <w:lang w:val="pt-BR"/>
        </w:rPr>
        <w:lastRenderedPageBreak/>
        <w:t xml:space="preserve">melhoria das </w:t>
      </w:r>
      <w:r w:rsidR="00D83B8F" w:rsidRPr="00D01E89">
        <w:rPr>
          <w:rFonts w:ascii="Arial" w:hAnsi="Arial" w:cs="Arial"/>
          <w:sz w:val="24"/>
          <w:szCs w:val="24"/>
          <w:lang w:val="pt-BR"/>
        </w:rPr>
        <w:t xml:space="preserve">instalações </w:t>
      </w:r>
      <w:r w:rsidR="006B1EFF" w:rsidRPr="00D01E89">
        <w:rPr>
          <w:rFonts w:ascii="Arial" w:hAnsi="Arial" w:cs="Arial"/>
          <w:sz w:val="24"/>
          <w:szCs w:val="24"/>
          <w:lang w:val="pt-BR"/>
        </w:rPr>
        <w:t xml:space="preserve">onde é ministrada a formação, </w:t>
      </w:r>
      <w:r w:rsidR="009A18C3" w:rsidRPr="00D01E89">
        <w:rPr>
          <w:rFonts w:ascii="Arial" w:hAnsi="Arial" w:cs="Arial"/>
          <w:sz w:val="24"/>
          <w:szCs w:val="24"/>
          <w:lang w:val="pt-BR"/>
        </w:rPr>
        <w:t xml:space="preserve">este facto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dificultava </w:t>
      </w:r>
      <w:r w:rsidR="006B1EFF" w:rsidRPr="00D01E89">
        <w:rPr>
          <w:rFonts w:ascii="Arial" w:hAnsi="Arial" w:cs="Arial"/>
          <w:sz w:val="24"/>
          <w:szCs w:val="24"/>
          <w:lang w:val="pt-BR"/>
        </w:rPr>
        <w:t xml:space="preserve">o tratamento </w:t>
      </w:r>
      <w:r w:rsidR="00D83B8F" w:rsidRPr="00D01E89">
        <w:rPr>
          <w:rFonts w:ascii="Arial" w:hAnsi="Arial" w:cs="Arial"/>
          <w:sz w:val="24"/>
          <w:szCs w:val="24"/>
          <w:lang w:val="pt-BR"/>
        </w:rPr>
        <w:t xml:space="preserve">destas questões </w:t>
      </w:r>
      <w:r w:rsidR="0074251A" w:rsidRPr="00D01E89">
        <w:rPr>
          <w:rFonts w:ascii="Arial" w:hAnsi="Arial" w:cs="Arial"/>
          <w:sz w:val="24"/>
          <w:szCs w:val="24"/>
          <w:lang w:val="pt-BR"/>
        </w:rPr>
        <w:t xml:space="preserve">no âmbito do </w:t>
      </w:r>
      <w:r w:rsidR="00103EA0" w:rsidRPr="00D01E89">
        <w:rPr>
          <w:rFonts w:ascii="Arial" w:hAnsi="Arial" w:cs="Arial"/>
          <w:sz w:val="24"/>
          <w:szCs w:val="24"/>
          <w:lang w:val="pt-BR"/>
        </w:rPr>
        <w:t>Protocolo sobre o Comércio de Serviços</w:t>
      </w:r>
      <w:r w:rsidR="0074251A" w:rsidRPr="00D01E89">
        <w:rPr>
          <w:rFonts w:ascii="Arial" w:hAnsi="Arial" w:cs="Arial"/>
          <w:sz w:val="24"/>
          <w:szCs w:val="24"/>
          <w:lang w:val="pt-BR"/>
        </w:rPr>
        <w:t>.</w:t>
      </w:r>
    </w:p>
    <w:p w14:paraId="7D8AA54B" w14:textId="77777777" w:rsidR="0019012A" w:rsidRPr="00D01E89" w:rsidRDefault="00895CA3">
      <w:pPr>
        <w:pStyle w:val="ListParagraph"/>
        <w:numPr>
          <w:ilvl w:val="0"/>
          <w:numId w:val="9"/>
        </w:numPr>
        <w:spacing w:before="240" w:after="0" w:line="312" w:lineRule="auto"/>
        <w:ind w:left="1530" w:hanging="679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Foi levantada a questão de saber </w:t>
      </w:r>
      <w:r w:rsidR="006D74BD" w:rsidRPr="00D01E89">
        <w:rPr>
          <w:rFonts w:ascii="Arial" w:hAnsi="Arial" w:cs="Arial"/>
          <w:sz w:val="24"/>
          <w:szCs w:val="24"/>
          <w:lang w:val="pt-BR"/>
        </w:rPr>
        <w:t>se o "</w:t>
      </w:r>
      <w:r w:rsidR="0040365F" w:rsidRPr="00D01E89">
        <w:rPr>
          <w:rFonts w:ascii="Arial" w:hAnsi="Arial" w:cs="Arial"/>
          <w:i/>
          <w:iCs/>
          <w:sz w:val="24"/>
          <w:szCs w:val="24"/>
          <w:lang w:val="pt-BR"/>
        </w:rPr>
        <w:t>estágio</w:t>
      </w:r>
      <w:r w:rsidR="006D74BD" w:rsidRPr="00D01E89">
        <w:rPr>
          <w:rFonts w:ascii="Arial" w:hAnsi="Arial" w:cs="Arial"/>
          <w:sz w:val="24"/>
          <w:szCs w:val="24"/>
          <w:lang w:val="pt-BR"/>
        </w:rPr>
        <w:t xml:space="preserve">"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se enquadrava </w:t>
      </w:r>
      <w:r w:rsidR="0040365F" w:rsidRPr="00D01E89">
        <w:rPr>
          <w:rFonts w:ascii="Arial" w:hAnsi="Arial" w:cs="Arial"/>
          <w:sz w:val="24"/>
          <w:szCs w:val="24"/>
          <w:lang w:val="pt-BR"/>
        </w:rPr>
        <w:t xml:space="preserve">no âmbito das </w:t>
      </w:r>
      <w:r w:rsidR="00E57D7F" w:rsidRPr="00D01E89">
        <w:rPr>
          <w:rFonts w:ascii="Arial" w:hAnsi="Arial" w:cs="Arial"/>
          <w:sz w:val="24"/>
          <w:szCs w:val="24"/>
          <w:lang w:val="pt-BR"/>
        </w:rPr>
        <w:t>"</w:t>
      </w:r>
      <w:r w:rsidR="0040365F" w:rsidRPr="00D01E89">
        <w:rPr>
          <w:rFonts w:ascii="Arial" w:hAnsi="Arial" w:cs="Arial"/>
          <w:sz w:val="24"/>
          <w:szCs w:val="24"/>
          <w:lang w:val="pt-BR"/>
        </w:rPr>
        <w:t>instalações de formação</w:t>
      </w:r>
      <w:r w:rsidR="00E57D7F" w:rsidRPr="00D01E89">
        <w:rPr>
          <w:rFonts w:ascii="Arial" w:hAnsi="Arial" w:cs="Arial"/>
          <w:sz w:val="24"/>
          <w:szCs w:val="24"/>
          <w:lang w:val="pt-BR"/>
        </w:rPr>
        <w:t>"</w:t>
      </w:r>
      <w:r w:rsidR="009328FB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="00FE3C41" w:rsidRPr="00D01E89">
        <w:rPr>
          <w:rFonts w:ascii="Arial" w:hAnsi="Arial" w:cs="Arial"/>
          <w:sz w:val="24"/>
          <w:szCs w:val="24"/>
          <w:lang w:val="pt-BR"/>
        </w:rPr>
        <w:t xml:space="preserve">Foi explicado que </w:t>
      </w:r>
      <w:r w:rsidR="006A6211" w:rsidRPr="00D01E89">
        <w:rPr>
          <w:rFonts w:ascii="Arial" w:hAnsi="Arial" w:cs="Arial"/>
          <w:sz w:val="24"/>
          <w:szCs w:val="24"/>
          <w:lang w:val="pt-BR"/>
        </w:rPr>
        <w:t xml:space="preserve">o estágio </w:t>
      </w:r>
      <w:r w:rsidR="00AF15A1" w:rsidRPr="00D01E89">
        <w:rPr>
          <w:rFonts w:ascii="Arial" w:hAnsi="Arial" w:cs="Arial"/>
          <w:sz w:val="24"/>
          <w:szCs w:val="24"/>
          <w:lang w:val="pt-BR"/>
        </w:rPr>
        <w:t xml:space="preserve">faz parte </w:t>
      </w:r>
      <w:r w:rsidR="006A6211" w:rsidRPr="00D01E89">
        <w:rPr>
          <w:rFonts w:ascii="Arial" w:hAnsi="Arial" w:cs="Arial"/>
          <w:sz w:val="24"/>
          <w:szCs w:val="24"/>
          <w:lang w:val="pt-BR"/>
        </w:rPr>
        <w:t xml:space="preserve">do </w:t>
      </w:r>
      <w:r w:rsidR="00DA256F" w:rsidRPr="00D01E89">
        <w:rPr>
          <w:rFonts w:ascii="Arial" w:hAnsi="Arial" w:cs="Arial"/>
          <w:sz w:val="24"/>
          <w:szCs w:val="24"/>
          <w:lang w:val="pt-BR"/>
        </w:rPr>
        <w:t xml:space="preserve">conteúdo </w:t>
      </w:r>
      <w:r w:rsidR="006A6211" w:rsidRPr="00D01E89">
        <w:rPr>
          <w:rFonts w:ascii="Arial" w:hAnsi="Arial" w:cs="Arial"/>
          <w:sz w:val="24"/>
          <w:szCs w:val="24"/>
          <w:lang w:val="pt-BR"/>
        </w:rPr>
        <w:t xml:space="preserve">do curso </w:t>
      </w:r>
      <w:r w:rsidR="00DA256F" w:rsidRPr="00D01E89">
        <w:rPr>
          <w:rFonts w:ascii="Arial" w:hAnsi="Arial" w:cs="Arial"/>
          <w:sz w:val="24"/>
          <w:szCs w:val="24"/>
          <w:lang w:val="pt-BR"/>
        </w:rPr>
        <w:t>e</w:t>
      </w:r>
      <w:r w:rsidR="00DA3D33" w:rsidRPr="00D01E89">
        <w:rPr>
          <w:rFonts w:ascii="Arial" w:hAnsi="Arial" w:cs="Arial"/>
          <w:sz w:val="24"/>
          <w:szCs w:val="24"/>
          <w:lang w:val="pt-BR"/>
        </w:rPr>
        <w:t xml:space="preserve">, por conseguinte, </w:t>
      </w:r>
      <w:r w:rsidR="00CD7E85" w:rsidRPr="00D01E89">
        <w:rPr>
          <w:rFonts w:ascii="Arial" w:hAnsi="Arial" w:cs="Arial"/>
          <w:sz w:val="24"/>
          <w:szCs w:val="24"/>
          <w:lang w:val="pt-BR"/>
        </w:rPr>
        <w:t xml:space="preserve">não pode ser abrangido pelas </w:t>
      </w:r>
      <w:r w:rsidR="00251A26" w:rsidRPr="00D01E89">
        <w:rPr>
          <w:rFonts w:ascii="Arial" w:hAnsi="Arial" w:cs="Arial"/>
          <w:sz w:val="24"/>
          <w:szCs w:val="24"/>
          <w:lang w:val="pt-BR"/>
        </w:rPr>
        <w:t>"instalações de formação".</w:t>
      </w:r>
    </w:p>
    <w:p w14:paraId="4AF4223C" w14:textId="77777777" w:rsidR="0019012A" w:rsidRDefault="00895CA3">
      <w:pPr>
        <w:pStyle w:val="ListParagraph"/>
        <w:numPr>
          <w:ilvl w:val="0"/>
          <w:numId w:val="9"/>
        </w:numPr>
        <w:shd w:val="clear" w:color="auto" w:fill="D9D9D9" w:themeFill="background1" w:themeFillShade="D9"/>
        <w:spacing w:before="240" w:after="0" w:line="312" w:lineRule="auto"/>
        <w:ind w:left="1530" w:hanging="679"/>
        <w:jc w:val="both"/>
        <w:rPr>
          <w:rFonts w:ascii="Arial" w:hAnsi="Arial" w:cs="Arial"/>
          <w:sz w:val="24"/>
          <w:szCs w:val="24"/>
          <w:u w:val="single"/>
        </w:rPr>
      </w:pPr>
      <w:r w:rsidRPr="00F101A0">
        <w:rPr>
          <w:rFonts w:ascii="Arial" w:hAnsi="Arial" w:cs="Arial"/>
          <w:sz w:val="24"/>
          <w:szCs w:val="24"/>
          <w:u w:val="single"/>
        </w:rPr>
        <w:t>Conclusão 3</w:t>
      </w:r>
      <w:r w:rsidR="00021C96" w:rsidRPr="00F101A0">
        <w:rPr>
          <w:rFonts w:ascii="Arial" w:hAnsi="Arial" w:cs="Arial"/>
          <w:sz w:val="24"/>
          <w:szCs w:val="24"/>
          <w:u w:val="single"/>
        </w:rPr>
        <w:t xml:space="preserve">: </w:t>
      </w:r>
      <w:r w:rsidR="00C93A28" w:rsidRPr="00F101A0">
        <w:rPr>
          <w:rFonts w:ascii="Arial" w:hAnsi="Arial" w:cs="Arial"/>
          <w:sz w:val="24"/>
          <w:szCs w:val="24"/>
        </w:rPr>
        <w:t xml:space="preserve">Introdução </w:t>
      </w:r>
      <w:r w:rsidR="00C93A28" w:rsidRPr="00F101A0">
        <w:rPr>
          <w:rFonts w:ascii="Arial" w:hAnsi="Arial" w:cs="Arial"/>
          <w:sz w:val="24"/>
          <w:szCs w:val="24"/>
          <w:u w:val="single"/>
        </w:rPr>
        <w:t>[Secção 1]</w:t>
      </w:r>
    </w:p>
    <w:p w14:paraId="12D23888" w14:textId="72295B7A" w:rsidR="0019012A" w:rsidRPr="00D01E89" w:rsidRDefault="007A6344">
      <w:pPr>
        <w:pStyle w:val="ListParagraph"/>
        <w:numPr>
          <w:ilvl w:val="1"/>
          <w:numId w:val="4"/>
        </w:numPr>
        <w:shd w:val="clear" w:color="auto" w:fill="D9D9D9" w:themeFill="background1" w:themeFillShade="D9"/>
        <w:spacing w:before="240" w:after="0" w:line="312" w:lineRule="auto"/>
        <w:ind w:left="2552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Suprimir </w:t>
      </w:r>
      <w:r w:rsidR="00593F4E" w:rsidRPr="00D01E89">
        <w:rPr>
          <w:rFonts w:ascii="Arial" w:hAnsi="Arial" w:cs="Arial"/>
          <w:sz w:val="24"/>
          <w:szCs w:val="24"/>
          <w:lang w:val="pt-BR"/>
        </w:rPr>
        <w:t>"</w:t>
      </w:r>
      <w:r w:rsidR="00593F4E" w:rsidRPr="00D01E89">
        <w:rPr>
          <w:rFonts w:ascii="Arial" w:hAnsi="Arial" w:cs="Arial"/>
          <w:i/>
          <w:iCs/>
          <w:sz w:val="24"/>
          <w:szCs w:val="24"/>
          <w:lang w:val="pt-BR"/>
        </w:rPr>
        <w:t>instalações de formação</w:t>
      </w:r>
      <w:r w:rsidR="00593F4E" w:rsidRPr="00D01E89">
        <w:rPr>
          <w:rFonts w:ascii="Arial" w:hAnsi="Arial" w:cs="Arial"/>
          <w:sz w:val="24"/>
          <w:szCs w:val="24"/>
          <w:lang w:val="pt-BR"/>
        </w:rPr>
        <w:t xml:space="preserve">" </w:t>
      </w:r>
      <w:r w:rsidR="00057A84" w:rsidRPr="00D01E89">
        <w:rPr>
          <w:rFonts w:ascii="Arial" w:hAnsi="Arial" w:cs="Arial"/>
          <w:sz w:val="24"/>
          <w:szCs w:val="24"/>
          <w:lang w:val="pt-BR"/>
        </w:rPr>
        <w:t xml:space="preserve">do </w:t>
      </w:r>
      <w:r w:rsidR="00326CAC" w:rsidRPr="00D01E89">
        <w:rPr>
          <w:rFonts w:ascii="Arial" w:hAnsi="Arial" w:cs="Arial"/>
          <w:sz w:val="24"/>
          <w:szCs w:val="24"/>
          <w:lang w:val="pt-BR"/>
        </w:rPr>
        <w:t xml:space="preserve">ponto 1.2 </w:t>
      </w:r>
      <w:r w:rsidR="005A26FD" w:rsidRPr="00D01E89">
        <w:rPr>
          <w:rFonts w:ascii="Arial" w:hAnsi="Arial" w:cs="Arial"/>
          <w:sz w:val="24"/>
          <w:szCs w:val="24"/>
          <w:lang w:val="pt-BR"/>
        </w:rPr>
        <w:t xml:space="preserve">do </w:t>
      </w:r>
      <w:r w:rsidR="00DA3D33" w:rsidRPr="00D01E89">
        <w:rPr>
          <w:rFonts w:ascii="Arial" w:hAnsi="Arial" w:cs="Arial"/>
          <w:sz w:val="24"/>
          <w:szCs w:val="24"/>
          <w:lang w:val="pt-BR"/>
        </w:rPr>
        <w:t>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DA3D33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607548" w:rsidRPr="00D01E89">
        <w:rPr>
          <w:rFonts w:ascii="Arial" w:hAnsi="Arial" w:cs="Arial"/>
          <w:sz w:val="24"/>
          <w:szCs w:val="24"/>
          <w:lang w:val="pt-BR"/>
        </w:rPr>
        <w:t>;</w:t>
      </w:r>
    </w:p>
    <w:p w14:paraId="25CF7FFE" w14:textId="2C9B4274" w:rsidR="0019012A" w:rsidRPr="00D01E89" w:rsidRDefault="00AD29C3">
      <w:pPr>
        <w:pStyle w:val="ListParagraph"/>
        <w:numPr>
          <w:ilvl w:val="1"/>
          <w:numId w:val="4"/>
        </w:numPr>
        <w:shd w:val="clear" w:color="auto" w:fill="D9D9D9" w:themeFill="background1" w:themeFillShade="D9"/>
        <w:spacing w:after="0" w:line="312" w:lineRule="auto"/>
        <w:ind w:left="2552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Incluir </w:t>
      </w:r>
      <w:r w:rsidR="0004329D" w:rsidRPr="00D01E89">
        <w:rPr>
          <w:rFonts w:ascii="Arial" w:hAnsi="Arial" w:cs="Arial"/>
          <w:sz w:val="24"/>
          <w:szCs w:val="24"/>
          <w:lang w:val="pt-BR"/>
        </w:rPr>
        <w:t xml:space="preserve">uma </w:t>
      </w:r>
      <w:r w:rsidR="001030F8" w:rsidRPr="00D01E89">
        <w:rPr>
          <w:rFonts w:ascii="Arial" w:hAnsi="Arial" w:cs="Arial"/>
          <w:sz w:val="24"/>
          <w:szCs w:val="24"/>
          <w:lang w:val="pt-BR"/>
        </w:rPr>
        <w:t xml:space="preserve">secção de definições,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no início do </w:t>
      </w:r>
      <w:r w:rsidR="00895CA3" w:rsidRPr="00D01E89">
        <w:rPr>
          <w:rFonts w:ascii="Arial" w:hAnsi="Arial" w:cs="Arial"/>
          <w:sz w:val="24"/>
          <w:szCs w:val="24"/>
          <w:lang w:val="pt-BR"/>
        </w:rPr>
        <w:t>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, que </w:t>
      </w:r>
      <w:r w:rsidR="00504A26" w:rsidRPr="00D01E89">
        <w:rPr>
          <w:rFonts w:ascii="Arial" w:hAnsi="Arial" w:cs="Arial"/>
          <w:sz w:val="24"/>
          <w:szCs w:val="24"/>
          <w:lang w:val="pt-BR"/>
        </w:rPr>
        <w:t xml:space="preserve">explique </w:t>
      </w:r>
      <w:r w:rsidR="00465347" w:rsidRPr="00D01E89">
        <w:rPr>
          <w:rFonts w:ascii="Arial" w:hAnsi="Arial" w:cs="Arial"/>
          <w:sz w:val="24"/>
          <w:szCs w:val="24"/>
          <w:lang w:val="pt-BR"/>
        </w:rPr>
        <w:t xml:space="preserve">ou interprete as </w:t>
      </w:r>
      <w:r w:rsidR="00637EB7" w:rsidRPr="00D01E89">
        <w:rPr>
          <w:rFonts w:ascii="Arial" w:hAnsi="Arial" w:cs="Arial"/>
          <w:sz w:val="24"/>
          <w:szCs w:val="24"/>
          <w:lang w:val="pt-BR"/>
        </w:rPr>
        <w:t xml:space="preserve">palavras </w:t>
      </w:r>
      <w:r w:rsidR="001030F8" w:rsidRPr="00D01E89">
        <w:rPr>
          <w:rFonts w:ascii="Arial" w:hAnsi="Arial" w:cs="Arial"/>
          <w:sz w:val="24"/>
          <w:szCs w:val="24"/>
          <w:lang w:val="pt-BR"/>
        </w:rPr>
        <w:t xml:space="preserve">e </w:t>
      </w:r>
      <w:r w:rsidR="00504A26" w:rsidRPr="00D01E89">
        <w:rPr>
          <w:rFonts w:ascii="Arial" w:hAnsi="Arial" w:cs="Arial"/>
          <w:sz w:val="24"/>
          <w:szCs w:val="24"/>
          <w:lang w:val="pt-BR"/>
        </w:rPr>
        <w:t xml:space="preserve">terminologias </w:t>
      </w:r>
      <w:r w:rsidR="00465347" w:rsidRPr="00D01E89">
        <w:rPr>
          <w:rFonts w:ascii="Arial" w:hAnsi="Arial" w:cs="Arial"/>
          <w:sz w:val="24"/>
          <w:szCs w:val="24"/>
          <w:lang w:val="pt-BR"/>
        </w:rPr>
        <w:t xml:space="preserve">técnicas </w:t>
      </w:r>
      <w:r w:rsidR="00504A26" w:rsidRPr="00D01E89">
        <w:rPr>
          <w:rFonts w:ascii="Arial" w:hAnsi="Arial" w:cs="Arial"/>
          <w:sz w:val="24"/>
          <w:szCs w:val="24"/>
          <w:lang w:val="pt-BR"/>
        </w:rPr>
        <w:t xml:space="preserve">utilizadas no </w:t>
      </w:r>
      <w:r w:rsidR="00895CA3" w:rsidRPr="00D01E89">
        <w:rPr>
          <w:rFonts w:ascii="Arial" w:hAnsi="Arial" w:cs="Arial"/>
          <w:sz w:val="24"/>
          <w:szCs w:val="24"/>
          <w:lang w:val="pt-BR"/>
        </w:rPr>
        <w:t>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897BA6" w:rsidRPr="00D01E89">
        <w:rPr>
          <w:rFonts w:ascii="Arial" w:hAnsi="Arial" w:cs="Arial"/>
          <w:sz w:val="24"/>
          <w:szCs w:val="24"/>
          <w:lang w:val="pt-BR"/>
        </w:rPr>
        <w:t xml:space="preserve">, por exemplo, </w:t>
      </w:r>
      <w:r w:rsidRPr="00D01E89">
        <w:rPr>
          <w:rFonts w:ascii="Arial" w:hAnsi="Arial" w:cs="Arial"/>
          <w:sz w:val="24"/>
          <w:szCs w:val="24"/>
          <w:lang w:val="pt-BR"/>
        </w:rPr>
        <w:t>"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>sistema educativo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" </w:t>
      </w:r>
      <w:r w:rsidR="00AC286E" w:rsidRPr="00D01E89">
        <w:rPr>
          <w:rFonts w:ascii="Arial" w:hAnsi="Arial" w:cs="Arial"/>
          <w:sz w:val="24"/>
          <w:szCs w:val="24"/>
          <w:lang w:val="pt-BR"/>
        </w:rPr>
        <w:t xml:space="preserve">e </w:t>
      </w:r>
      <w:r w:rsidRPr="00D01E89">
        <w:rPr>
          <w:rFonts w:ascii="Arial" w:hAnsi="Arial" w:cs="Arial"/>
          <w:sz w:val="24"/>
          <w:szCs w:val="24"/>
          <w:lang w:val="pt-BR"/>
        </w:rPr>
        <w:t>"</w:t>
      </w:r>
      <w:r w:rsidR="00880694">
        <w:rPr>
          <w:rFonts w:ascii="Arial" w:hAnsi="Arial" w:cs="Arial"/>
          <w:i/>
          <w:iCs/>
          <w:sz w:val="24"/>
          <w:szCs w:val="24"/>
          <w:lang w:val="pt-BR"/>
        </w:rPr>
        <w:t>MRA</w:t>
      </w:r>
      <w:r w:rsidR="00607548" w:rsidRPr="00D01E89">
        <w:rPr>
          <w:rFonts w:ascii="Arial" w:hAnsi="Arial" w:cs="Arial"/>
          <w:sz w:val="24"/>
          <w:szCs w:val="24"/>
          <w:lang w:val="pt-BR"/>
        </w:rPr>
        <w:t>";</w:t>
      </w:r>
    </w:p>
    <w:p w14:paraId="246DEACC" w14:textId="54969B1B" w:rsidR="0019012A" w:rsidRPr="00D01E89" w:rsidRDefault="00895CA3">
      <w:pPr>
        <w:pStyle w:val="ListParagraph"/>
        <w:numPr>
          <w:ilvl w:val="1"/>
          <w:numId w:val="4"/>
        </w:numPr>
        <w:shd w:val="clear" w:color="auto" w:fill="D9D9D9" w:themeFill="background1" w:themeFillShade="D9"/>
        <w:spacing w:after="0" w:line="312" w:lineRule="auto"/>
        <w:ind w:left="2552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O Zimbabué deve propor um texto para reformular o ponto 6 </w:t>
      </w:r>
      <w:r w:rsidR="00A07ED4" w:rsidRPr="00D01E89">
        <w:rPr>
          <w:rFonts w:ascii="Arial" w:hAnsi="Arial" w:cs="Arial"/>
          <w:sz w:val="24"/>
          <w:szCs w:val="24"/>
          <w:lang w:val="pt-BR"/>
        </w:rPr>
        <w:t>[</w:t>
      </w:r>
      <w:r w:rsidR="00A07ED4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Qualificações exigidas] </w:t>
      </w:r>
      <w:r w:rsidR="00A07ED4" w:rsidRPr="00D01E89">
        <w:rPr>
          <w:rFonts w:ascii="Arial" w:hAnsi="Arial" w:cs="Arial"/>
          <w:sz w:val="24"/>
          <w:szCs w:val="24"/>
          <w:lang w:val="pt-BR"/>
        </w:rPr>
        <w:t xml:space="preserve">do </w:t>
      </w:r>
      <w:r w:rsidR="00F43DAB" w:rsidRPr="00D01E89">
        <w:rPr>
          <w:rFonts w:ascii="Arial" w:hAnsi="Arial" w:cs="Arial"/>
          <w:sz w:val="24"/>
          <w:szCs w:val="24"/>
          <w:lang w:val="pt-BR"/>
        </w:rPr>
        <w:t>A</w:t>
      </w:r>
      <w:r w:rsidR="00880694">
        <w:rPr>
          <w:rFonts w:ascii="Arial" w:hAnsi="Arial" w:cs="Arial"/>
          <w:sz w:val="24"/>
          <w:szCs w:val="24"/>
          <w:lang w:val="pt-BR"/>
        </w:rPr>
        <w:t>nexo</w:t>
      </w:r>
      <w:r w:rsidR="00F43DAB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B071C1" w:rsidRPr="00D01E89">
        <w:rPr>
          <w:rFonts w:ascii="Arial" w:hAnsi="Arial" w:cs="Arial"/>
          <w:sz w:val="24"/>
          <w:szCs w:val="24"/>
          <w:lang w:val="pt-BR"/>
        </w:rPr>
        <w:t>I do 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B071C1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, a fim de dar </w:t>
      </w:r>
      <w:r w:rsidR="009904B4" w:rsidRPr="00D01E89">
        <w:rPr>
          <w:rFonts w:ascii="Arial" w:hAnsi="Arial" w:cs="Arial"/>
          <w:sz w:val="24"/>
          <w:szCs w:val="24"/>
          <w:lang w:val="pt-BR"/>
        </w:rPr>
        <w:t xml:space="preserve">flexibilidade ao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9904B4" w:rsidRPr="00D01E89">
        <w:rPr>
          <w:rFonts w:ascii="Arial" w:hAnsi="Arial" w:cs="Arial"/>
          <w:sz w:val="24"/>
          <w:szCs w:val="24"/>
          <w:lang w:val="pt-BR"/>
        </w:rPr>
        <w:t xml:space="preserve"> específicos de um sector/profissão </w:t>
      </w:r>
      <w:r w:rsidR="004E4D16" w:rsidRPr="00D01E89">
        <w:rPr>
          <w:rFonts w:ascii="Arial" w:hAnsi="Arial" w:cs="Arial"/>
          <w:sz w:val="24"/>
          <w:szCs w:val="24"/>
          <w:lang w:val="pt-BR"/>
        </w:rPr>
        <w:t xml:space="preserve">para incluir quaisquer </w:t>
      </w:r>
      <w:r w:rsidR="00F75B1E" w:rsidRPr="00D01E89">
        <w:rPr>
          <w:rFonts w:ascii="Arial" w:hAnsi="Arial" w:cs="Arial"/>
          <w:sz w:val="24"/>
          <w:szCs w:val="24"/>
          <w:lang w:val="pt-BR"/>
        </w:rPr>
        <w:t xml:space="preserve">elementos </w:t>
      </w:r>
      <w:r w:rsidR="00595212" w:rsidRPr="00D01E89">
        <w:rPr>
          <w:rFonts w:ascii="Arial" w:hAnsi="Arial" w:cs="Arial"/>
          <w:sz w:val="24"/>
          <w:szCs w:val="24"/>
          <w:lang w:val="pt-BR"/>
        </w:rPr>
        <w:t xml:space="preserve">adicionais </w:t>
      </w:r>
      <w:r w:rsidR="00170A3A" w:rsidRPr="00D01E89">
        <w:rPr>
          <w:rFonts w:ascii="Arial" w:hAnsi="Arial" w:cs="Arial"/>
          <w:sz w:val="24"/>
          <w:szCs w:val="24"/>
          <w:lang w:val="pt-BR"/>
        </w:rPr>
        <w:t xml:space="preserve">necessários </w:t>
      </w:r>
      <w:r w:rsidR="0008232E" w:rsidRPr="00D01E89">
        <w:rPr>
          <w:rFonts w:ascii="Arial" w:hAnsi="Arial" w:cs="Arial"/>
          <w:sz w:val="24"/>
          <w:szCs w:val="24"/>
          <w:lang w:val="pt-BR"/>
        </w:rPr>
        <w:t xml:space="preserve">e específicos </w:t>
      </w:r>
      <w:r w:rsidR="00595212" w:rsidRPr="00D01E89">
        <w:rPr>
          <w:rFonts w:ascii="Arial" w:hAnsi="Arial" w:cs="Arial"/>
          <w:sz w:val="24"/>
          <w:szCs w:val="24"/>
          <w:lang w:val="pt-BR"/>
        </w:rPr>
        <w:t xml:space="preserve">desse </w:t>
      </w:r>
      <w:r w:rsidRPr="00D01E89">
        <w:rPr>
          <w:rFonts w:ascii="Arial" w:hAnsi="Arial" w:cs="Arial"/>
          <w:sz w:val="24"/>
          <w:szCs w:val="24"/>
          <w:lang w:val="pt-BR"/>
        </w:rPr>
        <w:t>sector</w:t>
      </w:r>
      <w:r w:rsidR="00651491" w:rsidRPr="00D01E89">
        <w:rPr>
          <w:rFonts w:ascii="Arial" w:hAnsi="Arial" w:cs="Arial"/>
          <w:sz w:val="24"/>
          <w:szCs w:val="24"/>
          <w:lang w:val="pt-BR"/>
        </w:rPr>
        <w:t xml:space="preserve">, incluindo </w:t>
      </w:r>
      <w:r w:rsidR="00F07669" w:rsidRPr="00D01E89">
        <w:rPr>
          <w:rFonts w:ascii="Arial" w:hAnsi="Arial" w:cs="Arial"/>
          <w:sz w:val="24"/>
          <w:szCs w:val="24"/>
          <w:lang w:val="pt-BR"/>
        </w:rPr>
        <w:t xml:space="preserve">questões </w:t>
      </w:r>
      <w:r w:rsidR="006D6CA7" w:rsidRPr="00D01E89">
        <w:rPr>
          <w:rFonts w:ascii="Arial" w:hAnsi="Arial" w:cs="Arial"/>
          <w:sz w:val="24"/>
          <w:szCs w:val="24"/>
          <w:lang w:val="pt-BR"/>
        </w:rPr>
        <w:t xml:space="preserve">relacionadas com as </w:t>
      </w:r>
      <w:r w:rsidR="000E1C12" w:rsidRPr="00D01E89">
        <w:rPr>
          <w:rFonts w:ascii="Arial" w:hAnsi="Arial" w:cs="Arial"/>
          <w:sz w:val="24"/>
          <w:szCs w:val="24"/>
          <w:lang w:val="pt-BR"/>
        </w:rPr>
        <w:t>"instalações de formação"</w:t>
      </w:r>
      <w:r w:rsidRPr="00D01E89">
        <w:rPr>
          <w:rFonts w:ascii="Arial" w:hAnsi="Arial" w:cs="Arial"/>
          <w:sz w:val="24"/>
          <w:szCs w:val="24"/>
          <w:lang w:val="pt-BR"/>
        </w:rPr>
        <w:t>.</w:t>
      </w:r>
    </w:p>
    <w:p w14:paraId="27D55E71" w14:textId="77777777" w:rsidR="0019012A" w:rsidRDefault="00895CA3">
      <w:pPr>
        <w:pStyle w:val="ListParagraph"/>
        <w:numPr>
          <w:ilvl w:val="2"/>
          <w:numId w:val="1"/>
        </w:numPr>
        <w:spacing w:before="240" w:after="0" w:line="312" w:lineRule="auto"/>
        <w:ind w:left="900" w:hanging="900"/>
        <w:jc w:val="both"/>
        <w:rPr>
          <w:rFonts w:ascii="Arial Bold" w:hAnsi="Arial Bold" w:cs="Arial"/>
          <w:b/>
          <w:bCs/>
          <w:caps/>
          <w:sz w:val="24"/>
          <w:szCs w:val="24"/>
        </w:rPr>
      </w:pPr>
      <w:r w:rsidRPr="00F101A0">
        <w:rPr>
          <w:rFonts w:ascii="Arial Bold" w:hAnsi="Arial Bold" w:cs="Arial"/>
          <w:b/>
          <w:bCs/>
          <w:caps/>
          <w:sz w:val="24"/>
          <w:szCs w:val="24"/>
        </w:rPr>
        <w:t xml:space="preserve">Objetivo </w:t>
      </w:r>
      <w:r w:rsidR="007F504A" w:rsidRPr="00F101A0">
        <w:rPr>
          <w:rFonts w:ascii="Arial Bold" w:hAnsi="Arial Bold" w:cs="Arial"/>
          <w:b/>
          <w:bCs/>
          <w:caps/>
          <w:sz w:val="24"/>
          <w:szCs w:val="24"/>
        </w:rPr>
        <w:t>[Secção 2]</w:t>
      </w:r>
    </w:p>
    <w:p w14:paraId="3F94CFB8" w14:textId="33E11FDD" w:rsidR="0019012A" w:rsidRPr="00D01E89" w:rsidRDefault="00895CA3">
      <w:pPr>
        <w:pStyle w:val="ListParagraph"/>
        <w:numPr>
          <w:ilvl w:val="0"/>
          <w:numId w:val="11"/>
        </w:numPr>
        <w:spacing w:before="240" w:after="0" w:line="312" w:lineRule="auto"/>
        <w:ind w:left="1620" w:hanging="81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A reunião </w:t>
      </w:r>
      <w:r w:rsidR="000B506F" w:rsidRPr="00D01E89">
        <w:rPr>
          <w:rFonts w:ascii="Arial" w:hAnsi="Arial" w:cs="Arial"/>
          <w:sz w:val="24"/>
          <w:szCs w:val="24"/>
          <w:lang w:val="pt-BR"/>
        </w:rPr>
        <w:t xml:space="preserve">observou </w:t>
      </w:r>
      <w:r w:rsidR="002375DD" w:rsidRPr="00D01E89">
        <w:rPr>
          <w:rFonts w:ascii="Arial" w:hAnsi="Arial" w:cs="Arial"/>
          <w:sz w:val="24"/>
          <w:szCs w:val="24"/>
          <w:lang w:val="pt-BR"/>
        </w:rPr>
        <w:t xml:space="preserve">que a </w:t>
      </w:r>
      <w:r w:rsidR="00880694">
        <w:rPr>
          <w:rFonts w:ascii="Arial" w:hAnsi="Arial" w:cs="Arial"/>
          <w:sz w:val="24"/>
          <w:szCs w:val="24"/>
          <w:lang w:val="pt-BR"/>
        </w:rPr>
        <w:t xml:space="preserve">45ª </w:t>
      </w:r>
      <w:r w:rsidR="00DA3D33" w:rsidRPr="00D01E89">
        <w:rPr>
          <w:rFonts w:ascii="Arial" w:hAnsi="Arial" w:cs="Arial"/>
          <w:sz w:val="24"/>
          <w:szCs w:val="24"/>
          <w:lang w:val="pt-BR"/>
        </w:rPr>
        <w:t xml:space="preserve">reunião </w:t>
      </w:r>
      <w:r w:rsidR="000D0174" w:rsidRPr="00D01E89">
        <w:rPr>
          <w:rFonts w:ascii="Arial" w:hAnsi="Arial" w:cs="Arial"/>
          <w:sz w:val="24"/>
          <w:szCs w:val="24"/>
          <w:lang w:val="pt-BR"/>
        </w:rPr>
        <w:t>TNF-Servi</w:t>
      </w:r>
      <w:r w:rsidR="00880694">
        <w:rPr>
          <w:rFonts w:ascii="Arial" w:hAnsi="Arial" w:cs="Arial"/>
          <w:sz w:val="24"/>
          <w:szCs w:val="24"/>
          <w:lang w:val="pt-BR"/>
        </w:rPr>
        <w:t>ço</w:t>
      </w:r>
      <w:r w:rsidR="000D0174" w:rsidRPr="00D01E89">
        <w:rPr>
          <w:rFonts w:ascii="Arial" w:hAnsi="Arial" w:cs="Arial"/>
          <w:sz w:val="24"/>
          <w:szCs w:val="24"/>
          <w:lang w:val="pt-BR"/>
        </w:rPr>
        <w:t xml:space="preserve">s tinha </w:t>
      </w:r>
      <w:r w:rsidR="007E341F" w:rsidRPr="00D01E89">
        <w:rPr>
          <w:rFonts w:ascii="Arial" w:hAnsi="Arial" w:cs="Arial"/>
          <w:sz w:val="24"/>
          <w:szCs w:val="24"/>
          <w:lang w:val="pt-BR"/>
        </w:rPr>
        <w:t xml:space="preserve">acordado na necessidade de separar </w:t>
      </w:r>
      <w:r w:rsidR="000B506F" w:rsidRPr="00D01E89">
        <w:rPr>
          <w:rFonts w:ascii="Arial" w:hAnsi="Arial" w:cs="Arial"/>
          <w:sz w:val="24"/>
          <w:szCs w:val="24"/>
          <w:lang w:val="pt-BR"/>
        </w:rPr>
        <w:t xml:space="preserve">os objectivos </w:t>
      </w:r>
      <w:r w:rsidR="007E341F" w:rsidRPr="00D01E89">
        <w:rPr>
          <w:rFonts w:ascii="Arial" w:hAnsi="Arial" w:cs="Arial"/>
          <w:sz w:val="24"/>
          <w:szCs w:val="24"/>
          <w:lang w:val="pt-BR"/>
        </w:rPr>
        <w:t>do 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7E341F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7E341F" w:rsidRPr="00D01E89">
        <w:rPr>
          <w:rFonts w:ascii="Arial" w:hAnsi="Arial" w:cs="Arial"/>
          <w:sz w:val="24"/>
          <w:szCs w:val="24"/>
          <w:lang w:val="pt-BR"/>
        </w:rPr>
        <w:t xml:space="preserve"> do obje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7E341F" w:rsidRPr="00D01E89">
        <w:rPr>
          <w:rFonts w:ascii="Arial" w:hAnsi="Arial" w:cs="Arial"/>
          <w:sz w:val="24"/>
          <w:szCs w:val="24"/>
          <w:lang w:val="pt-BR"/>
        </w:rPr>
        <w:t xml:space="preserve">tivo do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7E341F" w:rsidRPr="00D01E89">
        <w:rPr>
          <w:rFonts w:ascii="Arial" w:hAnsi="Arial" w:cs="Arial"/>
          <w:sz w:val="24"/>
          <w:szCs w:val="24"/>
          <w:lang w:val="pt-BR"/>
        </w:rPr>
        <w:t xml:space="preserve">. Além </w:t>
      </w:r>
      <w:r w:rsidR="00177BE4" w:rsidRPr="00D01E89">
        <w:rPr>
          <w:rFonts w:ascii="Arial" w:hAnsi="Arial" w:cs="Arial"/>
          <w:sz w:val="24"/>
          <w:szCs w:val="24"/>
          <w:lang w:val="pt-BR"/>
        </w:rPr>
        <w:t xml:space="preserve">disso, a reunião registou que </w:t>
      </w:r>
      <w:r w:rsidR="008E5451" w:rsidRPr="00D01E89">
        <w:rPr>
          <w:rFonts w:ascii="Arial" w:hAnsi="Arial" w:cs="Arial"/>
          <w:sz w:val="24"/>
          <w:szCs w:val="24"/>
          <w:lang w:val="pt-BR"/>
        </w:rPr>
        <w:t xml:space="preserve">o </w:t>
      </w:r>
      <w:r w:rsidR="008F1158" w:rsidRPr="00D01E89">
        <w:rPr>
          <w:rFonts w:ascii="Arial" w:hAnsi="Arial" w:cs="Arial"/>
          <w:sz w:val="24"/>
          <w:szCs w:val="24"/>
          <w:lang w:val="pt-BR"/>
        </w:rPr>
        <w:t xml:space="preserve">parágrafo </w:t>
      </w:r>
      <w:r w:rsidR="00FD2B35" w:rsidRPr="00D01E89">
        <w:rPr>
          <w:rFonts w:ascii="Arial" w:hAnsi="Arial" w:cs="Arial"/>
          <w:sz w:val="24"/>
          <w:szCs w:val="24"/>
          <w:lang w:val="pt-BR"/>
        </w:rPr>
        <w:t xml:space="preserve">previa </w:t>
      </w:r>
      <w:r w:rsidR="00160EC5" w:rsidRPr="00D01E89">
        <w:rPr>
          <w:rFonts w:ascii="Arial" w:hAnsi="Arial" w:cs="Arial"/>
          <w:sz w:val="24"/>
          <w:szCs w:val="24"/>
          <w:lang w:val="pt-BR"/>
        </w:rPr>
        <w:t xml:space="preserve">uma </w:t>
      </w:r>
      <w:r w:rsidR="00DA3D33" w:rsidRPr="00D01E89">
        <w:rPr>
          <w:rFonts w:ascii="Arial" w:hAnsi="Arial" w:cs="Arial"/>
          <w:i/>
          <w:iCs/>
          <w:sz w:val="24"/>
          <w:szCs w:val="24"/>
          <w:lang w:val="pt-BR"/>
        </w:rPr>
        <w:t>"</w:t>
      </w:r>
      <w:r w:rsidR="00160EC5" w:rsidRPr="00D01E89">
        <w:rPr>
          <w:rFonts w:ascii="Arial" w:hAnsi="Arial" w:cs="Arial"/>
          <w:i/>
          <w:iCs/>
          <w:sz w:val="24"/>
          <w:szCs w:val="24"/>
          <w:lang w:val="pt-BR"/>
        </w:rPr>
        <w:t>abordagem comum</w:t>
      </w:r>
      <w:r w:rsidR="00160EC5" w:rsidRPr="00D01E89">
        <w:rPr>
          <w:rFonts w:ascii="Arial" w:hAnsi="Arial" w:cs="Arial"/>
          <w:sz w:val="24"/>
          <w:szCs w:val="24"/>
          <w:lang w:val="pt-BR"/>
        </w:rPr>
        <w:t xml:space="preserve">" </w:t>
      </w:r>
      <w:r w:rsidR="00E93B9D" w:rsidRPr="00D01E89">
        <w:rPr>
          <w:rFonts w:ascii="Arial" w:hAnsi="Arial" w:cs="Arial"/>
          <w:sz w:val="24"/>
          <w:szCs w:val="24"/>
          <w:lang w:val="pt-BR"/>
        </w:rPr>
        <w:t xml:space="preserve">e </w:t>
      </w:r>
      <w:r w:rsidR="00160EC5" w:rsidRPr="00D01E89">
        <w:rPr>
          <w:rFonts w:ascii="Arial" w:hAnsi="Arial" w:cs="Arial"/>
          <w:sz w:val="24"/>
          <w:szCs w:val="24"/>
          <w:lang w:val="pt-BR"/>
        </w:rPr>
        <w:t xml:space="preserve">um </w:t>
      </w:r>
      <w:r w:rsidR="008262BF" w:rsidRPr="00D01E89">
        <w:rPr>
          <w:rFonts w:ascii="Arial" w:hAnsi="Arial" w:cs="Arial"/>
          <w:sz w:val="24"/>
          <w:szCs w:val="24"/>
          <w:lang w:val="pt-BR"/>
        </w:rPr>
        <w:t>"</w:t>
      </w:r>
      <w:r w:rsidR="00421D94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conteúdo e </w:t>
      </w:r>
      <w:r w:rsidR="00E93B9D" w:rsidRPr="00D01E89">
        <w:rPr>
          <w:rFonts w:ascii="Arial" w:hAnsi="Arial" w:cs="Arial"/>
          <w:i/>
          <w:iCs/>
          <w:sz w:val="24"/>
          <w:szCs w:val="24"/>
          <w:lang w:val="pt-BR"/>
        </w:rPr>
        <w:t>normas mínimas</w:t>
      </w:r>
      <w:r w:rsidR="00C00A39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" </w:t>
      </w:r>
      <w:r w:rsidR="00E93B9D" w:rsidRPr="00D01E89">
        <w:rPr>
          <w:rFonts w:ascii="Arial" w:hAnsi="Arial" w:cs="Arial"/>
          <w:sz w:val="24"/>
          <w:szCs w:val="24"/>
          <w:lang w:val="pt-BR"/>
        </w:rPr>
        <w:t xml:space="preserve">para as </w:t>
      </w:r>
      <w:r w:rsidR="00D061AB" w:rsidRPr="00D01E89">
        <w:rPr>
          <w:rFonts w:ascii="Arial" w:hAnsi="Arial" w:cs="Arial"/>
          <w:sz w:val="24"/>
          <w:szCs w:val="24"/>
          <w:lang w:val="pt-BR"/>
        </w:rPr>
        <w:t>estruturas do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213D80" w:rsidRPr="00D01E89">
        <w:rPr>
          <w:rFonts w:ascii="Arial" w:hAnsi="Arial" w:cs="Arial"/>
          <w:sz w:val="24"/>
          <w:szCs w:val="24"/>
          <w:lang w:val="pt-BR"/>
        </w:rPr>
        <w:t xml:space="preserve">. Foi sugerido que </w:t>
      </w:r>
      <w:r w:rsidR="00421D94" w:rsidRPr="00D01E89">
        <w:rPr>
          <w:rFonts w:ascii="Arial" w:hAnsi="Arial" w:cs="Arial"/>
          <w:sz w:val="24"/>
          <w:szCs w:val="24"/>
          <w:lang w:val="pt-BR"/>
        </w:rPr>
        <w:t xml:space="preserve">os </w:t>
      </w:r>
      <w:r w:rsidR="00F25E86" w:rsidRPr="00D01E89">
        <w:rPr>
          <w:rFonts w:ascii="Arial" w:hAnsi="Arial" w:cs="Arial"/>
          <w:sz w:val="24"/>
          <w:szCs w:val="24"/>
          <w:lang w:val="pt-BR"/>
        </w:rPr>
        <w:t xml:space="preserve">"elementos" </w:t>
      </w:r>
      <w:r w:rsidR="00BB593A" w:rsidRPr="00D01E89">
        <w:rPr>
          <w:rFonts w:ascii="Arial" w:hAnsi="Arial" w:cs="Arial"/>
          <w:sz w:val="24"/>
          <w:szCs w:val="24"/>
          <w:lang w:val="pt-BR"/>
        </w:rPr>
        <w:t xml:space="preserve">a considerar no desenvolvimento dos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BB593A" w:rsidRPr="00D01E89">
        <w:rPr>
          <w:rFonts w:ascii="Arial" w:hAnsi="Arial" w:cs="Arial"/>
          <w:sz w:val="24"/>
          <w:szCs w:val="24"/>
          <w:lang w:val="pt-BR"/>
        </w:rPr>
        <w:t xml:space="preserve"> sectoriais </w:t>
      </w:r>
      <w:r w:rsidR="009C6F32" w:rsidRPr="00D01E89">
        <w:rPr>
          <w:rFonts w:ascii="Arial" w:hAnsi="Arial" w:cs="Arial"/>
          <w:sz w:val="24"/>
          <w:szCs w:val="24"/>
          <w:lang w:val="pt-BR"/>
        </w:rPr>
        <w:t xml:space="preserve">seriam os mesmos, </w:t>
      </w:r>
      <w:r w:rsidR="00DA3D33" w:rsidRPr="00D01E89">
        <w:rPr>
          <w:rFonts w:ascii="Arial" w:hAnsi="Arial" w:cs="Arial"/>
          <w:sz w:val="24"/>
          <w:szCs w:val="24"/>
          <w:lang w:val="pt-BR"/>
        </w:rPr>
        <w:t xml:space="preserve">embora </w:t>
      </w:r>
      <w:r w:rsidR="00BB593A" w:rsidRPr="00D01E89">
        <w:rPr>
          <w:rFonts w:ascii="Arial" w:hAnsi="Arial" w:cs="Arial"/>
          <w:sz w:val="24"/>
          <w:szCs w:val="24"/>
          <w:lang w:val="pt-BR"/>
        </w:rPr>
        <w:t xml:space="preserve">o conteúdo </w:t>
      </w:r>
      <w:r w:rsidR="00F339E0" w:rsidRPr="00D01E89">
        <w:rPr>
          <w:rFonts w:ascii="Arial" w:hAnsi="Arial" w:cs="Arial"/>
          <w:sz w:val="24"/>
          <w:szCs w:val="24"/>
          <w:lang w:val="pt-BR"/>
        </w:rPr>
        <w:t xml:space="preserve">e as normas </w:t>
      </w:r>
      <w:r w:rsidR="009C6F32" w:rsidRPr="00D01E89">
        <w:rPr>
          <w:rFonts w:ascii="Arial" w:hAnsi="Arial" w:cs="Arial"/>
          <w:sz w:val="24"/>
          <w:szCs w:val="24"/>
          <w:lang w:val="pt-BR"/>
        </w:rPr>
        <w:t xml:space="preserve">reais </w:t>
      </w:r>
      <w:r w:rsidR="00F339E0" w:rsidRPr="00D01E89">
        <w:rPr>
          <w:rFonts w:ascii="Arial" w:hAnsi="Arial" w:cs="Arial"/>
          <w:sz w:val="24"/>
          <w:szCs w:val="24"/>
          <w:lang w:val="pt-BR"/>
        </w:rPr>
        <w:t xml:space="preserve">possam </w:t>
      </w:r>
      <w:r w:rsidR="009C6F32" w:rsidRPr="00D01E89">
        <w:rPr>
          <w:rFonts w:ascii="Arial" w:hAnsi="Arial" w:cs="Arial"/>
          <w:sz w:val="24"/>
          <w:szCs w:val="24"/>
          <w:lang w:val="pt-BR"/>
        </w:rPr>
        <w:t xml:space="preserve">diferir consoante as </w:t>
      </w:r>
      <w:r w:rsidR="00F339E0" w:rsidRPr="00D01E89">
        <w:rPr>
          <w:rFonts w:ascii="Arial" w:hAnsi="Arial" w:cs="Arial"/>
          <w:sz w:val="24"/>
          <w:szCs w:val="24"/>
          <w:lang w:val="pt-BR"/>
        </w:rPr>
        <w:t xml:space="preserve">profissões. Por conseguinte, seria </w:t>
      </w:r>
      <w:r w:rsidR="00F25E86" w:rsidRPr="00D01E89">
        <w:rPr>
          <w:rFonts w:ascii="Arial" w:hAnsi="Arial" w:cs="Arial"/>
          <w:sz w:val="24"/>
          <w:szCs w:val="24"/>
          <w:lang w:val="pt-BR"/>
        </w:rPr>
        <w:t xml:space="preserve">necessário </w:t>
      </w:r>
      <w:r w:rsidR="00F72ADC" w:rsidRPr="00D01E89">
        <w:rPr>
          <w:rFonts w:ascii="Arial" w:hAnsi="Arial" w:cs="Arial"/>
          <w:sz w:val="24"/>
          <w:szCs w:val="24"/>
          <w:lang w:val="pt-BR"/>
        </w:rPr>
        <w:t xml:space="preserve">considerar </w:t>
      </w:r>
      <w:r w:rsidR="00AF1B5D" w:rsidRPr="00D01E89">
        <w:rPr>
          <w:rFonts w:ascii="Arial" w:hAnsi="Arial" w:cs="Arial"/>
          <w:sz w:val="24"/>
          <w:szCs w:val="24"/>
          <w:lang w:val="pt-BR"/>
        </w:rPr>
        <w:t xml:space="preserve">a substituição das </w:t>
      </w:r>
      <w:r w:rsidR="00F72ADC" w:rsidRPr="00D01E89">
        <w:rPr>
          <w:rFonts w:ascii="Arial" w:hAnsi="Arial" w:cs="Arial"/>
          <w:sz w:val="24"/>
          <w:szCs w:val="24"/>
          <w:lang w:val="pt-BR"/>
        </w:rPr>
        <w:t xml:space="preserve">palavras </w:t>
      </w:r>
      <w:r w:rsidR="00AF1B5D" w:rsidRPr="00D01E89">
        <w:rPr>
          <w:rFonts w:ascii="Arial" w:hAnsi="Arial" w:cs="Arial"/>
          <w:sz w:val="24"/>
          <w:szCs w:val="24"/>
          <w:lang w:val="pt-BR"/>
        </w:rPr>
        <w:t>"</w:t>
      </w:r>
      <w:r w:rsidR="00F72ADC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conteúdo e </w:t>
      </w:r>
      <w:r w:rsidR="00AF1B5D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normas </w:t>
      </w:r>
      <w:r w:rsidR="00FE29F4" w:rsidRPr="00D01E89">
        <w:rPr>
          <w:rFonts w:ascii="Arial" w:hAnsi="Arial" w:cs="Arial"/>
          <w:i/>
          <w:iCs/>
          <w:sz w:val="24"/>
          <w:szCs w:val="24"/>
          <w:lang w:val="pt-BR"/>
        </w:rPr>
        <w:t>mínimas</w:t>
      </w:r>
      <w:r w:rsidR="00AF1B5D" w:rsidRPr="00D01E89">
        <w:rPr>
          <w:rFonts w:ascii="Arial" w:hAnsi="Arial" w:cs="Arial"/>
          <w:sz w:val="24"/>
          <w:szCs w:val="24"/>
          <w:lang w:val="pt-BR"/>
        </w:rPr>
        <w:t>" por "</w:t>
      </w:r>
      <w:r w:rsidR="00AF1B5D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elementos e características </w:t>
      </w:r>
      <w:r w:rsidR="00F72ADC" w:rsidRPr="00D01E89">
        <w:rPr>
          <w:rFonts w:ascii="Arial" w:hAnsi="Arial" w:cs="Arial"/>
          <w:i/>
          <w:iCs/>
          <w:sz w:val="24"/>
          <w:szCs w:val="24"/>
          <w:lang w:val="pt-BR"/>
        </w:rPr>
        <w:t>mínimas</w:t>
      </w:r>
      <w:r w:rsidR="00AF1B5D" w:rsidRPr="00D01E89">
        <w:rPr>
          <w:rFonts w:ascii="Arial" w:hAnsi="Arial" w:cs="Arial"/>
          <w:sz w:val="24"/>
          <w:szCs w:val="24"/>
          <w:lang w:val="pt-BR"/>
        </w:rPr>
        <w:t>".</w:t>
      </w:r>
    </w:p>
    <w:p w14:paraId="4AF1A84D" w14:textId="77777777" w:rsidR="00794F86" w:rsidRPr="00D01E89" w:rsidRDefault="00794F86" w:rsidP="000953A4">
      <w:pPr>
        <w:spacing w:after="0" w:line="312" w:lineRule="auto"/>
        <w:ind w:left="851"/>
        <w:jc w:val="both"/>
        <w:rPr>
          <w:rFonts w:ascii="Arial" w:hAnsi="Arial" w:cs="Arial"/>
          <w:sz w:val="24"/>
          <w:szCs w:val="24"/>
          <w:lang w:val="pt-BR"/>
        </w:rPr>
      </w:pPr>
    </w:p>
    <w:p w14:paraId="33D25F60" w14:textId="77777777" w:rsidR="0019012A" w:rsidRDefault="00895CA3">
      <w:pPr>
        <w:pStyle w:val="ListParagraph"/>
        <w:numPr>
          <w:ilvl w:val="0"/>
          <w:numId w:val="12"/>
        </w:numPr>
        <w:shd w:val="clear" w:color="auto" w:fill="D9D9D9" w:themeFill="background1" w:themeFillShade="D9"/>
        <w:tabs>
          <w:tab w:val="left" w:pos="1620"/>
        </w:tabs>
        <w:spacing w:after="0" w:line="312" w:lineRule="auto"/>
        <w:ind w:left="1800" w:hanging="990"/>
        <w:jc w:val="both"/>
        <w:rPr>
          <w:rFonts w:ascii="Arial" w:hAnsi="Arial" w:cs="Arial"/>
          <w:sz w:val="24"/>
          <w:szCs w:val="24"/>
          <w:u w:val="single"/>
        </w:rPr>
      </w:pPr>
      <w:r w:rsidRPr="00F101A0">
        <w:rPr>
          <w:rFonts w:ascii="Arial" w:hAnsi="Arial" w:cs="Arial"/>
          <w:sz w:val="24"/>
          <w:szCs w:val="24"/>
          <w:u w:val="single"/>
        </w:rPr>
        <w:t>Conclusão 4</w:t>
      </w:r>
      <w:r w:rsidR="000A40BC" w:rsidRPr="00F101A0">
        <w:rPr>
          <w:rFonts w:ascii="Arial" w:hAnsi="Arial" w:cs="Arial"/>
          <w:sz w:val="24"/>
          <w:szCs w:val="24"/>
          <w:u w:val="single"/>
        </w:rPr>
        <w:t xml:space="preserve">: </w:t>
      </w:r>
      <w:r w:rsidR="001F3BD7" w:rsidRPr="00F101A0">
        <w:rPr>
          <w:rFonts w:ascii="Arial" w:hAnsi="Arial" w:cs="Arial"/>
          <w:sz w:val="24"/>
          <w:szCs w:val="24"/>
          <w:u w:val="single"/>
        </w:rPr>
        <w:t>Objet</w:t>
      </w:r>
      <w:r w:rsidR="004C6578">
        <w:rPr>
          <w:rFonts w:ascii="Arial" w:hAnsi="Arial" w:cs="Arial"/>
          <w:sz w:val="24"/>
          <w:szCs w:val="24"/>
          <w:u w:val="single"/>
        </w:rPr>
        <w:t>c</w:t>
      </w:r>
      <w:r w:rsidR="001F3BD7" w:rsidRPr="00F101A0">
        <w:rPr>
          <w:rFonts w:ascii="Arial" w:hAnsi="Arial" w:cs="Arial"/>
          <w:sz w:val="24"/>
          <w:szCs w:val="24"/>
          <w:u w:val="single"/>
        </w:rPr>
        <w:t>ivo [Secção 2]</w:t>
      </w:r>
    </w:p>
    <w:p w14:paraId="28A1B1B4" w14:textId="77777777" w:rsidR="0019012A" w:rsidRPr="00D01E89" w:rsidRDefault="00585AAE">
      <w:pPr>
        <w:shd w:val="clear" w:color="auto" w:fill="D9D9D9" w:themeFill="background1" w:themeFillShade="D9"/>
        <w:tabs>
          <w:tab w:val="left" w:pos="1620"/>
        </w:tabs>
        <w:spacing w:before="240" w:after="0" w:line="312" w:lineRule="auto"/>
        <w:ind w:left="162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No </w:t>
      </w:r>
      <w:r w:rsidR="004E50F7" w:rsidRPr="00D01E89">
        <w:rPr>
          <w:rFonts w:ascii="Arial" w:hAnsi="Arial" w:cs="Arial"/>
          <w:sz w:val="24"/>
          <w:szCs w:val="24"/>
          <w:lang w:val="pt-BR"/>
        </w:rPr>
        <w:t xml:space="preserve">ponto 2.1, 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substituir a </w:t>
      </w:r>
      <w:r w:rsidR="008F1C01" w:rsidRPr="00D01E89">
        <w:rPr>
          <w:rFonts w:ascii="Arial" w:hAnsi="Arial" w:cs="Arial"/>
          <w:sz w:val="24"/>
          <w:szCs w:val="24"/>
          <w:lang w:val="pt-BR"/>
        </w:rPr>
        <w:t xml:space="preserve">expressão </w:t>
      </w:r>
      <w:r w:rsidR="008831F9" w:rsidRPr="00D01E89">
        <w:rPr>
          <w:rFonts w:ascii="Arial" w:hAnsi="Arial" w:cs="Arial"/>
          <w:sz w:val="24"/>
          <w:szCs w:val="24"/>
          <w:lang w:val="pt-BR"/>
        </w:rPr>
        <w:t>"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conteúdos e </w:t>
      </w:r>
      <w:r w:rsidR="008831F9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normas </w:t>
      </w:r>
      <w:r w:rsidR="00FE29F4" w:rsidRPr="00D01E89">
        <w:rPr>
          <w:rFonts w:ascii="Arial" w:hAnsi="Arial" w:cs="Arial"/>
          <w:i/>
          <w:iCs/>
          <w:sz w:val="24"/>
          <w:szCs w:val="24"/>
          <w:lang w:val="pt-BR"/>
        </w:rPr>
        <w:t>mínimos</w:t>
      </w:r>
      <w:r w:rsidR="008831F9" w:rsidRPr="00D01E89">
        <w:rPr>
          <w:rFonts w:ascii="Arial" w:hAnsi="Arial" w:cs="Arial"/>
          <w:sz w:val="24"/>
          <w:szCs w:val="24"/>
          <w:lang w:val="pt-BR"/>
        </w:rPr>
        <w:t xml:space="preserve">" </w:t>
      </w:r>
      <w:r w:rsidR="002F1FD2" w:rsidRPr="00D01E89">
        <w:rPr>
          <w:rFonts w:ascii="Arial" w:hAnsi="Arial" w:cs="Arial"/>
          <w:sz w:val="24"/>
          <w:szCs w:val="24"/>
          <w:lang w:val="pt-BR"/>
        </w:rPr>
        <w:t xml:space="preserve">por </w:t>
      </w:r>
      <w:r w:rsidR="002F1FD2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"elementos 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e características </w:t>
      </w:r>
      <w:r w:rsidR="00F5603F" w:rsidRPr="00D01E89">
        <w:rPr>
          <w:rFonts w:ascii="Arial" w:hAnsi="Arial" w:cs="Arial"/>
          <w:i/>
          <w:iCs/>
          <w:sz w:val="24"/>
          <w:szCs w:val="24"/>
          <w:lang w:val="pt-BR"/>
        </w:rPr>
        <w:t>mínimos</w:t>
      </w:r>
      <w:r w:rsidR="004E50F7" w:rsidRPr="00D01E89">
        <w:rPr>
          <w:rFonts w:ascii="Arial" w:hAnsi="Arial" w:cs="Arial"/>
          <w:i/>
          <w:iCs/>
          <w:sz w:val="24"/>
          <w:szCs w:val="24"/>
          <w:lang w:val="pt-BR"/>
        </w:rPr>
        <w:t>"</w:t>
      </w:r>
      <w:r w:rsidR="001A3A90" w:rsidRPr="00D01E89">
        <w:rPr>
          <w:rFonts w:ascii="Arial" w:hAnsi="Arial" w:cs="Arial"/>
          <w:sz w:val="24"/>
          <w:szCs w:val="24"/>
          <w:lang w:val="pt-BR"/>
        </w:rPr>
        <w:t>.</w:t>
      </w:r>
    </w:p>
    <w:p w14:paraId="5E2B1956" w14:textId="77777777" w:rsidR="00075AC5" w:rsidRPr="00D01E89" w:rsidRDefault="00075AC5" w:rsidP="000953A4">
      <w:pPr>
        <w:spacing w:after="0" w:line="312" w:lineRule="auto"/>
        <w:ind w:left="851"/>
        <w:jc w:val="both"/>
        <w:rPr>
          <w:rFonts w:ascii="Arial" w:hAnsi="Arial" w:cs="Arial"/>
          <w:sz w:val="24"/>
          <w:szCs w:val="24"/>
          <w:lang w:val="pt-BR"/>
        </w:rPr>
      </w:pPr>
    </w:p>
    <w:p w14:paraId="3677D501" w14:textId="77777777" w:rsidR="0019012A" w:rsidRDefault="00895CA3">
      <w:pPr>
        <w:pStyle w:val="ListParagraph"/>
        <w:numPr>
          <w:ilvl w:val="2"/>
          <w:numId w:val="1"/>
        </w:numPr>
        <w:spacing w:after="0" w:line="312" w:lineRule="auto"/>
        <w:ind w:left="900" w:hanging="900"/>
        <w:jc w:val="both"/>
        <w:rPr>
          <w:rFonts w:ascii="Arial Bold" w:hAnsi="Arial Bold" w:cs="Arial"/>
          <w:b/>
          <w:bCs/>
          <w:caps/>
          <w:sz w:val="24"/>
          <w:szCs w:val="24"/>
        </w:rPr>
      </w:pPr>
      <w:r w:rsidRPr="00F101A0">
        <w:rPr>
          <w:rFonts w:ascii="Arial Bold" w:hAnsi="Arial Bold" w:cs="Arial"/>
          <w:b/>
          <w:bCs/>
          <w:caps/>
          <w:sz w:val="24"/>
          <w:szCs w:val="24"/>
        </w:rPr>
        <w:lastRenderedPageBreak/>
        <w:t xml:space="preserve">Abordagem de negociação </w:t>
      </w:r>
      <w:r w:rsidR="007F504A" w:rsidRPr="00F101A0">
        <w:rPr>
          <w:rFonts w:ascii="Arial Bold" w:hAnsi="Arial Bold" w:cs="Arial"/>
          <w:b/>
          <w:bCs/>
          <w:caps/>
          <w:sz w:val="24"/>
          <w:szCs w:val="24"/>
        </w:rPr>
        <w:t>[Secção 3]</w:t>
      </w:r>
    </w:p>
    <w:p w14:paraId="2E335C42" w14:textId="77777777" w:rsidR="0019012A" w:rsidRPr="00D01E89" w:rsidRDefault="00895CA3">
      <w:pPr>
        <w:pStyle w:val="ListParagraph"/>
        <w:numPr>
          <w:ilvl w:val="0"/>
          <w:numId w:val="14"/>
        </w:numPr>
        <w:spacing w:before="240" w:after="0" w:line="312" w:lineRule="auto"/>
        <w:ind w:left="1710" w:hanging="859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Ponto 3.1 sobre </w:t>
      </w:r>
      <w:r w:rsidR="001230D4" w:rsidRPr="00D01E89">
        <w:rPr>
          <w:rFonts w:ascii="Arial" w:hAnsi="Arial" w:cs="Arial"/>
          <w:b/>
          <w:bCs/>
          <w:sz w:val="24"/>
          <w:szCs w:val="24"/>
          <w:lang w:val="pt-BR"/>
        </w:rPr>
        <w:t>"</w:t>
      </w:r>
      <w:r w:rsidR="001230D4" w:rsidRPr="00D01E89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 xml:space="preserve">desenvolver </w:t>
      </w:r>
      <w:r w:rsidR="00880694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MRA</w:t>
      </w:r>
      <w:r w:rsidR="004E50F7" w:rsidRPr="00D01E89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 xml:space="preserve"> </w:t>
      </w:r>
      <w:r w:rsidR="001230D4" w:rsidRPr="00D01E89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sectoriais/profissionais específicos</w:t>
      </w:r>
      <w:r w:rsidR="004E50F7" w:rsidRPr="00D01E89">
        <w:rPr>
          <w:rFonts w:ascii="Arial" w:hAnsi="Arial" w:cs="Arial"/>
          <w:b/>
          <w:bCs/>
          <w:sz w:val="24"/>
          <w:szCs w:val="24"/>
          <w:lang w:val="pt-BR"/>
        </w:rPr>
        <w:t>".</w:t>
      </w:r>
    </w:p>
    <w:p w14:paraId="0367221A" w14:textId="77777777" w:rsidR="0019012A" w:rsidRPr="00D01E89" w:rsidRDefault="00895CA3">
      <w:pPr>
        <w:spacing w:before="240" w:after="0" w:line="312" w:lineRule="auto"/>
        <w:ind w:left="171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76400C" w:rsidRPr="00D01E89">
        <w:rPr>
          <w:rFonts w:ascii="Arial" w:hAnsi="Arial" w:cs="Arial"/>
          <w:sz w:val="24"/>
          <w:szCs w:val="24"/>
          <w:lang w:val="pt-BR"/>
        </w:rPr>
        <w:t xml:space="preserve">solicitaram esclarecimentos sobre o que </w:t>
      </w:r>
      <w:r w:rsidR="00FA7A97" w:rsidRPr="00D01E89">
        <w:rPr>
          <w:rFonts w:ascii="Arial" w:hAnsi="Arial" w:cs="Arial"/>
          <w:sz w:val="24"/>
          <w:szCs w:val="24"/>
          <w:lang w:val="pt-BR"/>
        </w:rPr>
        <w:t xml:space="preserve">constituía </w:t>
      </w:r>
      <w:r w:rsidR="00F82BDA" w:rsidRPr="00D01E89">
        <w:rPr>
          <w:rFonts w:ascii="Arial" w:hAnsi="Arial" w:cs="Arial"/>
          <w:sz w:val="24"/>
          <w:szCs w:val="24"/>
          <w:lang w:val="pt-BR"/>
        </w:rPr>
        <w:t xml:space="preserve">"domínios </w:t>
      </w:r>
      <w:r w:rsidR="00DA3D33" w:rsidRPr="00D01E89">
        <w:rPr>
          <w:rFonts w:ascii="Arial" w:hAnsi="Arial" w:cs="Arial"/>
          <w:sz w:val="24"/>
          <w:szCs w:val="24"/>
          <w:lang w:val="pt-BR"/>
        </w:rPr>
        <w:t xml:space="preserve">profissionais </w:t>
      </w:r>
      <w:r w:rsidR="00C044F6" w:rsidRPr="00D01E89">
        <w:rPr>
          <w:rFonts w:ascii="Arial" w:hAnsi="Arial" w:cs="Arial"/>
          <w:sz w:val="24"/>
          <w:szCs w:val="24"/>
          <w:lang w:val="pt-BR"/>
        </w:rPr>
        <w:t xml:space="preserve">abrangidos pelo Protocolo" para os quais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estavam </w:t>
      </w:r>
      <w:r w:rsidR="00DA3D33" w:rsidRPr="00D01E89">
        <w:rPr>
          <w:rFonts w:ascii="Arial" w:hAnsi="Arial" w:cs="Arial"/>
          <w:sz w:val="24"/>
          <w:szCs w:val="24"/>
          <w:lang w:val="pt-BR"/>
        </w:rPr>
        <w:t xml:space="preserve">previstos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4D113A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80118A" w:rsidRPr="00D01E89">
        <w:rPr>
          <w:rFonts w:ascii="Arial" w:hAnsi="Arial" w:cs="Arial"/>
          <w:sz w:val="24"/>
          <w:szCs w:val="24"/>
          <w:lang w:val="pt-BR"/>
        </w:rPr>
        <w:t>se</w:t>
      </w:r>
      <w:r w:rsidR="00084CCF">
        <w:rPr>
          <w:rFonts w:ascii="Arial" w:hAnsi="Arial" w:cs="Arial"/>
          <w:sz w:val="24"/>
          <w:szCs w:val="24"/>
          <w:lang w:val="pt-BR"/>
        </w:rPr>
        <w:t>c</w:t>
      </w:r>
      <w:r w:rsidR="0080118A" w:rsidRPr="00D01E89">
        <w:rPr>
          <w:rFonts w:ascii="Arial" w:hAnsi="Arial" w:cs="Arial"/>
          <w:sz w:val="24"/>
          <w:szCs w:val="24"/>
          <w:lang w:val="pt-BR"/>
        </w:rPr>
        <w:t xml:space="preserve">toriais </w:t>
      </w:r>
      <w:r w:rsidR="00D825F3" w:rsidRPr="00D01E89">
        <w:rPr>
          <w:rFonts w:ascii="Arial" w:hAnsi="Arial" w:cs="Arial"/>
          <w:sz w:val="24"/>
          <w:szCs w:val="24"/>
          <w:lang w:val="pt-BR"/>
        </w:rPr>
        <w:t xml:space="preserve">ou </w:t>
      </w:r>
      <w:r w:rsidR="0080118A" w:rsidRPr="00D01E89">
        <w:rPr>
          <w:rFonts w:ascii="Arial" w:hAnsi="Arial" w:cs="Arial"/>
          <w:sz w:val="24"/>
          <w:szCs w:val="24"/>
          <w:lang w:val="pt-BR"/>
        </w:rPr>
        <w:t xml:space="preserve">profissionais específicos </w:t>
      </w:r>
      <w:r w:rsidR="00C044F6" w:rsidRPr="00D01E89">
        <w:rPr>
          <w:rFonts w:ascii="Arial" w:hAnsi="Arial" w:cs="Arial"/>
          <w:sz w:val="24"/>
          <w:szCs w:val="24"/>
          <w:lang w:val="pt-BR"/>
        </w:rPr>
        <w:t xml:space="preserve">neste número, </w:t>
      </w:r>
      <w:r w:rsidR="003B23F3" w:rsidRPr="00D01E89">
        <w:rPr>
          <w:rFonts w:ascii="Arial" w:hAnsi="Arial" w:cs="Arial"/>
          <w:sz w:val="24"/>
          <w:szCs w:val="24"/>
          <w:lang w:val="pt-BR"/>
        </w:rPr>
        <w:t xml:space="preserve">em comparação com os </w:t>
      </w:r>
      <w:r w:rsidR="00D4247C" w:rsidRPr="00D01E89">
        <w:rPr>
          <w:rFonts w:ascii="Arial" w:hAnsi="Arial" w:cs="Arial"/>
          <w:sz w:val="24"/>
          <w:szCs w:val="24"/>
          <w:lang w:val="pt-BR"/>
        </w:rPr>
        <w:t>grupos subse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D4247C" w:rsidRPr="00D01E89">
        <w:rPr>
          <w:rFonts w:ascii="Arial" w:hAnsi="Arial" w:cs="Arial"/>
          <w:sz w:val="24"/>
          <w:szCs w:val="24"/>
          <w:lang w:val="pt-BR"/>
        </w:rPr>
        <w:t xml:space="preserve">toriais organizados durante o </w:t>
      </w:r>
      <w:r w:rsidR="00E51DD2" w:rsidRPr="00D01E89">
        <w:rPr>
          <w:rFonts w:ascii="Arial" w:hAnsi="Arial" w:cs="Arial"/>
          <w:sz w:val="24"/>
          <w:szCs w:val="24"/>
          <w:lang w:val="pt-BR"/>
        </w:rPr>
        <w:t xml:space="preserve">seminário sobre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E51DD2" w:rsidRPr="00D01E89">
        <w:rPr>
          <w:rFonts w:ascii="Arial" w:hAnsi="Arial" w:cs="Arial"/>
          <w:sz w:val="24"/>
          <w:szCs w:val="24"/>
          <w:lang w:val="pt-BR"/>
        </w:rPr>
        <w:t xml:space="preserve"> em </w:t>
      </w:r>
      <w:r w:rsidR="00880694">
        <w:rPr>
          <w:rFonts w:ascii="Arial" w:hAnsi="Arial" w:cs="Arial"/>
          <w:sz w:val="24"/>
          <w:szCs w:val="24"/>
          <w:lang w:val="pt-BR"/>
        </w:rPr>
        <w:t>A</w:t>
      </w:r>
      <w:r w:rsidR="00E51DD2" w:rsidRPr="00D01E89">
        <w:rPr>
          <w:rFonts w:ascii="Arial" w:hAnsi="Arial" w:cs="Arial"/>
          <w:sz w:val="24"/>
          <w:szCs w:val="24"/>
          <w:lang w:val="pt-BR"/>
        </w:rPr>
        <w:t>bril de 2023</w:t>
      </w:r>
      <w:r w:rsidR="004D113A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="00FA2217" w:rsidRPr="00D01E89">
        <w:rPr>
          <w:rFonts w:ascii="Arial" w:hAnsi="Arial" w:cs="Arial"/>
          <w:sz w:val="24"/>
          <w:szCs w:val="24"/>
          <w:lang w:val="pt-BR"/>
        </w:rPr>
        <w:t xml:space="preserve">Foi explicado que se </w:t>
      </w:r>
      <w:r w:rsidR="00DA3D33" w:rsidRPr="00D01E89">
        <w:rPr>
          <w:rFonts w:ascii="Arial" w:hAnsi="Arial" w:cs="Arial"/>
          <w:sz w:val="24"/>
          <w:szCs w:val="24"/>
          <w:lang w:val="pt-BR"/>
        </w:rPr>
        <w:t xml:space="preserve">tratava de </w:t>
      </w:r>
      <w:r w:rsidR="00FA2217" w:rsidRPr="00D01E89">
        <w:rPr>
          <w:rFonts w:ascii="Arial" w:hAnsi="Arial" w:cs="Arial"/>
          <w:sz w:val="24"/>
          <w:szCs w:val="24"/>
          <w:lang w:val="pt-BR"/>
        </w:rPr>
        <w:t xml:space="preserve">serviços profissionais </w:t>
      </w:r>
      <w:r w:rsidR="00B1756F" w:rsidRPr="00D01E89">
        <w:rPr>
          <w:rFonts w:ascii="Arial" w:hAnsi="Arial" w:cs="Arial"/>
          <w:sz w:val="24"/>
          <w:szCs w:val="24"/>
          <w:lang w:val="pt-BR"/>
        </w:rPr>
        <w:t xml:space="preserve">especificados na </w:t>
      </w:r>
      <w:r w:rsidR="00FA2217" w:rsidRPr="00D01E89">
        <w:rPr>
          <w:rFonts w:ascii="Arial" w:hAnsi="Arial" w:cs="Arial"/>
          <w:sz w:val="24"/>
          <w:szCs w:val="24"/>
          <w:lang w:val="pt-BR"/>
        </w:rPr>
        <w:t>Lista de Classificação Sectorial dos Serviços [documento da Organização Mundial do Comércio (</w:t>
      </w:r>
      <w:r w:rsidR="00880694">
        <w:rPr>
          <w:rFonts w:ascii="Arial" w:hAnsi="Arial" w:cs="Arial"/>
          <w:sz w:val="24"/>
          <w:szCs w:val="24"/>
          <w:lang w:val="pt-BR"/>
        </w:rPr>
        <w:t>WTO</w:t>
      </w:r>
      <w:r w:rsidR="00FA2217" w:rsidRPr="00D01E89">
        <w:rPr>
          <w:rFonts w:ascii="Arial" w:hAnsi="Arial" w:cs="Arial"/>
          <w:sz w:val="24"/>
          <w:szCs w:val="24"/>
          <w:lang w:val="pt-BR"/>
        </w:rPr>
        <w:t>) MTN.GNS/W/120</w:t>
      </w:r>
      <w:r w:rsidR="00FA2217" w:rsidRPr="00D01E89">
        <w:rPr>
          <w:rFonts w:ascii="Arial" w:hAnsi="Arial" w:cs="Arial"/>
          <w:sz w:val="24"/>
          <w:szCs w:val="24"/>
          <w:u w:val="single"/>
          <w:lang w:val="pt-BR"/>
        </w:rPr>
        <w:t>]</w:t>
      </w:r>
      <w:r w:rsidR="00A34B83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3D26B5" w:rsidRPr="00D01E89">
        <w:rPr>
          <w:rFonts w:ascii="Arial" w:hAnsi="Arial" w:cs="Arial"/>
          <w:sz w:val="24"/>
          <w:szCs w:val="24"/>
          <w:lang w:val="pt-BR"/>
        </w:rPr>
        <w:t xml:space="preserve">nomeadamente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 xml:space="preserve">a) Serviços jurídicos,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 xml:space="preserve">b) Serviços de contabilidade, auditoria e escrituração,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 xml:space="preserve">c) Serviços fiscais,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>d) Serviços de arquite</w:t>
      </w:r>
      <w:r w:rsidR="00084CCF">
        <w:rPr>
          <w:rFonts w:ascii="Arial" w:hAnsi="Arial" w:cs="Arial"/>
          <w:sz w:val="24"/>
          <w:szCs w:val="24"/>
          <w:lang w:val="pt-BR"/>
        </w:rPr>
        <w:t>c</w:t>
      </w:r>
      <w:r w:rsidR="00634C75" w:rsidRPr="00D01E89">
        <w:rPr>
          <w:rFonts w:ascii="Arial" w:hAnsi="Arial" w:cs="Arial"/>
          <w:sz w:val="24"/>
          <w:szCs w:val="24"/>
          <w:lang w:val="pt-BR"/>
        </w:rPr>
        <w:t xml:space="preserve">tura,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 xml:space="preserve">e) Serviços de engenharia,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 xml:space="preserve">f) Serviços integrados de engenharia,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 xml:space="preserve">g) Serviços de planeamento urbano e paisagístico,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 xml:space="preserve">h) Serviços médicos e dentários,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 xml:space="preserve">i) Serviços veterinários, </w:t>
      </w:r>
      <w:r w:rsidR="00B1756F" w:rsidRPr="00D01E89">
        <w:rPr>
          <w:rFonts w:ascii="Arial" w:hAnsi="Arial" w:cs="Arial"/>
          <w:sz w:val="24"/>
          <w:szCs w:val="24"/>
          <w:lang w:val="pt-BR"/>
        </w:rPr>
        <w:t>(</w:t>
      </w:r>
      <w:r w:rsidR="00634C75" w:rsidRPr="00D01E89">
        <w:rPr>
          <w:rFonts w:ascii="Arial" w:hAnsi="Arial" w:cs="Arial"/>
          <w:sz w:val="24"/>
          <w:szCs w:val="24"/>
          <w:lang w:val="pt-BR"/>
        </w:rPr>
        <w:t>j) Serviços prestados por parteiras, enfermeiros, fisioterapeutas e pessoal paramédico e (k) Outros</w:t>
      </w:r>
      <w:r w:rsidR="00B1756F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2693F5EC" w14:textId="77777777" w:rsidR="0019012A" w:rsidRPr="00D01E89" w:rsidRDefault="00895CA3">
      <w:pPr>
        <w:pStyle w:val="ListParagraph"/>
        <w:numPr>
          <w:ilvl w:val="0"/>
          <w:numId w:val="14"/>
        </w:numPr>
        <w:spacing w:before="240" w:after="0" w:line="312" w:lineRule="auto"/>
        <w:ind w:left="1710" w:hanging="859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>Ponto 3.3 sobre "</w:t>
      </w:r>
      <w:r w:rsidRPr="00D01E89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assistência técnica e reforço das capacidades dos países menos desenvolvidos (</w:t>
      </w:r>
      <w:r w:rsidR="00880694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LDC</w:t>
      </w:r>
      <w:r w:rsidRPr="00D01E89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 xml:space="preserve">) no acesso ao </w:t>
      </w:r>
      <w:r w:rsidR="00880694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MRA</w:t>
      </w:r>
      <w:r w:rsidR="007D4729" w:rsidRPr="00D01E89">
        <w:rPr>
          <w:rFonts w:ascii="Arial" w:hAnsi="Arial" w:cs="Arial"/>
          <w:b/>
          <w:bCs/>
          <w:sz w:val="24"/>
          <w:szCs w:val="24"/>
          <w:lang w:val="pt-BR"/>
        </w:rPr>
        <w:t>".</w:t>
      </w:r>
    </w:p>
    <w:p w14:paraId="154E143C" w14:textId="77777777" w:rsidR="0019012A" w:rsidRPr="00D01E89" w:rsidRDefault="00880694">
      <w:pPr>
        <w:spacing w:before="240" w:after="0" w:line="312" w:lineRule="auto"/>
        <w:ind w:left="171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Artigo 7 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do Protocolo indicava a necessidade de </w:t>
      </w:r>
      <w:r w:rsidR="00725DE8"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725DE8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2A6DF2" w:rsidRPr="00D01E89">
        <w:rPr>
          <w:rFonts w:ascii="Arial" w:hAnsi="Arial" w:cs="Arial"/>
          <w:sz w:val="24"/>
          <w:szCs w:val="24"/>
          <w:lang w:val="pt-BR"/>
        </w:rPr>
        <w:t xml:space="preserve">prestarem </w:t>
      </w:r>
      <w:r w:rsidR="00725DE8" w:rsidRPr="00D01E89">
        <w:rPr>
          <w:rFonts w:ascii="Arial" w:hAnsi="Arial" w:cs="Arial"/>
          <w:sz w:val="24"/>
          <w:szCs w:val="24"/>
          <w:lang w:val="pt-BR"/>
        </w:rPr>
        <w:t xml:space="preserve">assistência técnica </w:t>
      </w:r>
      <w:r w:rsidR="002A6DF2" w:rsidRPr="00D01E89">
        <w:rPr>
          <w:rFonts w:ascii="Arial" w:hAnsi="Arial" w:cs="Arial"/>
          <w:sz w:val="24"/>
          <w:szCs w:val="24"/>
          <w:lang w:val="pt-BR"/>
        </w:rPr>
        <w:t xml:space="preserve">e reforçarem as capacidades </w:t>
      </w:r>
      <w:r w:rsidR="004C67E2" w:rsidRPr="00D01E89">
        <w:rPr>
          <w:rFonts w:ascii="Arial" w:hAnsi="Arial" w:cs="Arial"/>
          <w:sz w:val="24"/>
          <w:szCs w:val="24"/>
          <w:lang w:val="pt-BR"/>
        </w:rPr>
        <w:t xml:space="preserve">dos </w:t>
      </w:r>
      <w:r>
        <w:rPr>
          <w:rFonts w:ascii="Arial" w:hAnsi="Arial" w:cs="Arial"/>
          <w:sz w:val="24"/>
          <w:szCs w:val="24"/>
          <w:lang w:val="pt-BR"/>
        </w:rPr>
        <w:t>LDC</w:t>
      </w:r>
      <w:r w:rsidR="004C67E2" w:rsidRPr="00D01E89">
        <w:rPr>
          <w:rFonts w:ascii="Arial" w:hAnsi="Arial" w:cs="Arial"/>
          <w:sz w:val="24"/>
          <w:szCs w:val="24"/>
          <w:lang w:val="pt-BR"/>
        </w:rPr>
        <w:t xml:space="preserve"> no acesso ao </w:t>
      </w:r>
      <w:r>
        <w:rPr>
          <w:rFonts w:ascii="Arial" w:hAnsi="Arial" w:cs="Arial"/>
          <w:sz w:val="24"/>
          <w:szCs w:val="24"/>
          <w:lang w:val="pt-BR"/>
        </w:rPr>
        <w:t>MRA</w:t>
      </w:r>
      <w:r w:rsidR="004C67E2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="00895CA3" w:rsidRPr="00D01E89">
        <w:rPr>
          <w:rFonts w:ascii="Arial" w:hAnsi="Arial" w:cs="Arial"/>
          <w:sz w:val="24"/>
          <w:szCs w:val="24"/>
          <w:lang w:val="pt-BR"/>
        </w:rPr>
        <w:t>No entanto, não era claro quais 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considerados </w:t>
      </w:r>
      <w:r>
        <w:rPr>
          <w:rFonts w:ascii="Arial" w:hAnsi="Arial" w:cs="Arial"/>
          <w:sz w:val="24"/>
          <w:szCs w:val="24"/>
          <w:lang w:val="pt-BR"/>
        </w:rPr>
        <w:t>LDC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no contexto 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da SADC e </w:t>
      </w:r>
      <w:r w:rsidR="009C6F9E" w:rsidRPr="00D01E89">
        <w:rPr>
          <w:rFonts w:ascii="Arial" w:hAnsi="Arial" w:cs="Arial"/>
          <w:sz w:val="24"/>
          <w:szCs w:val="24"/>
          <w:lang w:val="pt-BR"/>
        </w:rPr>
        <w:t xml:space="preserve">se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seriam </w:t>
      </w:r>
      <w:r w:rsidR="009C6F9E"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9C6F9E" w:rsidRPr="00D01E89">
        <w:rPr>
          <w:rFonts w:ascii="Arial" w:hAnsi="Arial" w:cs="Arial"/>
          <w:sz w:val="24"/>
          <w:szCs w:val="24"/>
          <w:lang w:val="pt-BR"/>
        </w:rPr>
        <w:t xml:space="preserve">Membros ou o Secretariado a prestar </w:t>
      </w:r>
      <w:r w:rsidR="00F908F4" w:rsidRPr="00D01E89">
        <w:rPr>
          <w:rFonts w:ascii="Arial" w:hAnsi="Arial" w:cs="Arial"/>
          <w:sz w:val="24"/>
          <w:szCs w:val="24"/>
          <w:lang w:val="pt-BR"/>
        </w:rPr>
        <w:t xml:space="preserve">essa assistência. 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F6B0FCB" w14:textId="77777777" w:rsidR="0019012A" w:rsidRDefault="00895CA3">
      <w:pPr>
        <w:spacing w:before="240" w:after="0" w:line="312" w:lineRule="auto"/>
        <w:ind w:left="1710"/>
        <w:jc w:val="both"/>
        <w:rPr>
          <w:rFonts w:ascii="Arial" w:hAnsi="Arial" w:cs="Arial"/>
          <w:sz w:val="24"/>
          <w:szCs w:val="24"/>
        </w:rPr>
      </w:pPr>
      <w:r w:rsidRPr="00F101A0">
        <w:rPr>
          <w:rFonts w:ascii="Arial" w:hAnsi="Arial" w:cs="Arial"/>
          <w:sz w:val="24"/>
          <w:szCs w:val="24"/>
        </w:rPr>
        <w:t xml:space="preserve">Foi </w:t>
      </w:r>
      <w:r w:rsidR="00E06E51" w:rsidRPr="00F101A0">
        <w:rPr>
          <w:rFonts w:ascii="Arial" w:hAnsi="Arial" w:cs="Arial"/>
          <w:sz w:val="24"/>
          <w:szCs w:val="24"/>
        </w:rPr>
        <w:t xml:space="preserve">explicado </w:t>
      </w:r>
      <w:r w:rsidR="00960E69" w:rsidRPr="00F101A0">
        <w:rPr>
          <w:rFonts w:ascii="Arial" w:hAnsi="Arial" w:cs="Arial"/>
          <w:sz w:val="24"/>
          <w:szCs w:val="24"/>
        </w:rPr>
        <w:t>que</w:t>
      </w:r>
      <w:r w:rsidR="001C0452" w:rsidRPr="00F101A0">
        <w:rPr>
          <w:rFonts w:ascii="Arial" w:hAnsi="Arial" w:cs="Arial"/>
          <w:sz w:val="24"/>
          <w:szCs w:val="24"/>
        </w:rPr>
        <w:t>:</w:t>
      </w:r>
    </w:p>
    <w:p w14:paraId="7949E251" w14:textId="77777777" w:rsidR="0019012A" w:rsidRPr="00D01E89" w:rsidRDefault="00895CA3">
      <w:pPr>
        <w:pStyle w:val="ListParagraph"/>
        <w:numPr>
          <w:ilvl w:val="2"/>
          <w:numId w:val="4"/>
        </w:numPr>
        <w:spacing w:before="240" w:after="0" w:line="312" w:lineRule="auto"/>
        <w:ind w:left="2430" w:right="372" w:hanging="72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Países Menos Avançados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- </w:t>
      </w:r>
      <w:r w:rsidR="003C7826" w:rsidRPr="00D01E89">
        <w:rPr>
          <w:rFonts w:ascii="Arial" w:hAnsi="Arial" w:cs="Arial"/>
          <w:sz w:val="24"/>
          <w:szCs w:val="24"/>
          <w:lang w:val="pt-BR"/>
        </w:rPr>
        <w:t xml:space="preserve">A SADC </w:t>
      </w:r>
      <w:r w:rsidR="006736A3" w:rsidRPr="00D01E89">
        <w:rPr>
          <w:rFonts w:ascii="Arial" w:hAnsi="Arial" w:cs="Arial"/>
          <w:sz w:val="24"/>
          <w:szCs w:val="24"/>
          <w:lang w:val="pt-BR"/>
        </w:rPr>
        <w:t xml:space="preserve">não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tem uma </w:t>
      </w:r>
      <w:r w:rsidR="00960E69" w:rsidRPr="00D01E89">
        <w:rPr>
          <w:rFonts w:ascii="Arial" w:hAnsi="Arial" w:cs="Arial"/>
          <w:sz w:val="24"/>
          <w:szCs w:val="24"/>
          <w:lang w:val="pt-BR"/>
        </w:rPr>
        <w:t xml:space="preserve">definição de </w:t>
      </w:r>
      <w:r w:rsidR="00880694">
        <w:rPr>
          <w:rFonts w:ascii="Arial" w:hAnsi="Arial" w:cs="Arial"/>
          <w:sz w:val="24"/>
          <w:szCs w:val="24"/>
          <w:lang w:val="pt-BR"/>
        </w:rPr>
        <w:t>LDC</w:t>
      </w:r>
      <w:r w:rsidR="00960E69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7B26D1" w:rsidRPr="00D01E89">
        <w:rPr>
          <w:rFonts w:ascii="Arial" w:hAnsi="Arial" w:cs="Arial"/>
          <w:sz w:val="24"/>
          <w:szCs w:val="24"/>
          <w:lang w:val="pt-BR"/>
        </w:rPr>
        <w:t xml:space="preserve">em nenhum dos seus </w:t>
      </w:r>
      <w:r w:rsidR="00B441BF" w:rsidRPr="00D01E89">
        <w:rPr>
          <w:rFonts w:ascii="Arial" w:hAnsi="Arial" w:cs="Arial"/>
          <w:sz w:val="24"/>
          <w:szCs w:val="24"/>
          <w:lang w:val="pt-BR"/>
        </w:rPr>
        <w:t>instrumentos</w:t>
      </w:r>
      <w:r w:rsidR="007B26D1" w:rsidRPr="00D01E89">
        <w:rPr>
          <w:rFonts w:ascii="Arial" w:hAnsi="Arial" w:cs="Arial"/>
          <w:sz w:val="24"/>
          <w:szCs w:val="24"/>
          <w:lang w:val="pt-BR"/>
        </w:rPr>
        <w:t xml:space="preserve"> jurídicos</w:t>
      </w:r>
      <w:r w:rsidR="003C7826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9619A0" w:rsidRPr="00D01E89">
        <w:rPr>
          <w:rFonts w:ascii="Arial" w:hAnsi="Arial" w:cs="Arial"/>
          <w:sz w:val="24"/>
          <w:szCs w:val="24"/>
          <w:lang w:val="pt-BR"/>
        </w:rPr>
        <w:t xml:space="preserve">mas </w:t>
      </w:r>
      <w:r w:rsidR="000676A2" w:rsidRPr="00D01E89">
        <w:rPr>
          <w:rFonts w:ascii="Arial" w:hAnsi="Arial" w:cs="Arial"/>
          <w:sz w:val="24"/>
          <w:szCs w:val="24"/>
          <w:lang w:val="pt-BR"/>
        </w:rPr>
        <w:t xml:space="preserve">o nº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2 do </w:t>
      </w:r>
      <w:r w:rsidR="000676A2" w:rsidRPr="00D01E89">
        <w:rPr>
          <w:rFonts w:ascii="Arial" w:hAnsi="Arial" w:cs="Arial"/>
          <w:sz w:val="24"/>
          <w:szCs w:val="24"/>
          <w:lang w:val="pt-BR"/>
        </w:rPr>
        <w:t xml:space="preserve">artigo 1º do </w:t>
      </w:r>
      <w:r w:rsidR="009619A0" w:rsidRPr="00D01E89">
        <w:rPr>
          <w:rFonts w:ascii="Arial" w:hAnsi="Arial" w:cs="Arial"/>
          <w:sz w:val="24"/>
          <w:szCs w:val="24"/>
          <w:lang w:val="pt-BR"/>
        </w:rPr>
        <w:t xml:space="preserve">Protocolo sobre o Comércio de Serviços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estabelece que </w:t>
      </w:r>
      <w:r w:rsidR="00F908F4" w:rsidRPr="00D01E89">
        <w:rPr>
          <w:rFonts w:ascii="Arial" w:hAnsi="Arial" w:cs="Arial"/>
          <w:sz w:val="24"/>
          <w:szCs w:val="24"/>
          <w:lang w:val="pt-BR"/>
        </w:rPr>
        <w:t>"</w:t>
      </w:r>
      <w:r w:rsidR="007B65C5" w:rsidRPr="00D01E89">
        <w:rPr>
          <w:rFonts w:ascii="Arial" w:hAnsi="Arial" w:cs="Arial"/>
          <w:i/>
          <w:iCs/>
          <w:sz w:val="24"/>
          <w:szCs w:val="24"/>
          <w:lang w:val="pt-BR"/>
        </w:rPr>
        <w:t>todos os outros termos relacionados com qualquer matéria dire</w:t>
      </w:r>
      <w:r w:rsidR="00514238">
        <w:rPr>
          <w:rFonts w:ascii="Arial" w:hAnsi="Arial" w:cs="Arial"/>
          <w:i/>
          <w:iCs/>
          <w:sz w:val="24"/>
          <w:szCs w:val="24"/>
          <w:lang w:val="pt-BR"/>
        </w:rPr>
        <w:t>c</w:t>
      </w:r>
      <w:r w:rsidR="007B65C5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tamente regulada pelo presente Protocolo que não estejam definidos no mesmo são considerados como tendo o mesmo significado que no Acordo Geral da </w:t>
      </w:r>
      <w:r w:rsidR="00880694">
        <w:rPr>
          <w:rFonts w:ascii="Arial" w:hAnsi="Arial" w:cs="Arial"/>
          <w:i/>
          <w:iCs/>
          <w:sz w:val="24"/>
          <w:szCs w:val="24"/>
          <w:lang w:val="pt-BR"/>
        </w:rPr>
        <w:t>WTO</w:t>
      </w:r>
      <w:r w:rsidR="007B65C5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sobre o Comércio de Serviços (GATS)</w:t>
      </w:r>
      <w:r w:rsidR="00F908F4" w:rsidRPr="00D01E89">
        <w:rPr>
          <w:rFonts w:ascii="Arial" w:hAnsi="Arial" w:cs="Arial"/>
          <w:i/>
          <w:iCs/>
          <w:sz w:val="24"/>
          <w:szCs w:val="24"/>
          <w:lang w:val="pt-BR"/>
        </w:rPr>
        <w:t>"</w:t>
      </w:r>
      <w:r w:rsidR="007B65C5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. </w:t>
      </w:r>
      <w:r w:rsidR="009619A0" w:rsidRPr="00D01E89">
        <w:rPr>
          <w:rFonts w:ascii="Arial" w:hAnsi="Arial" w:cs="Arial"/>
          <w:sz w:val="24"/>
          <w:szCs w:val="24"/>
          <w:lang w:val="pt-BR"/>
        </w:rPr>
        <w:t xml:space="preserve">Isto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implica </w:t>
      </w:r>
      <w:r w:rsidR="003C7826" w:rsidRPr="00D01E89">
        <w:rPr>
          <w:rFonts w:ascii="Arial" w:hAnsi="Arial" w:cs="Arial"/>
          <w:sz w:val="24"/>
          <w:szCs w:val="24"/>
          <w:lang w:val="pt-BR"/>
        </w:rPr>
        <w:t xml:space="preserve">que </w:t>
      </w:r>
      <w:r w:rsidR="000B3D15" w:rsidRPr="00D01E89">
        <w:rPr>
          <w:rFonts w:ascii="Arial" w:hAnsi="Arial" w:cs="Arial"/>
          <w:sz w:val="24"/>
          <w:szCs w:val="24"/>
          <w:lang w:val="pt-BR"/>
        </w:rPr>
        <w:t xml:space="preserve">o termo </w:t>
      </w:r>
      <w:r w:rsidR="00880694">
        <w:rPr>
          <w:rFonts w:ascii="Arial" w:hAnsi="Arial" w:cs="Arial"/>
          <w:sz w:val="24"/>
          <w:szCs w:val="24"/>
          <w:lang w:val="pt-BR"/>
        </w:rPr>
        <w:t>LDC</w:t>
      </w:r>
      <w:r w:rsidR="000B3D15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F735BA" w:rsidRPr="00D01E89">
        <w:rPr>
          <w:rFonts w:ascii="Arial" w:hAnsi="Arial" w:cs="Arial"/>
          <w:sz w:val="24"/>
          <w:szCs w:val="24"/>
          <w:lang w:val="pt-BR"/>
        </w:rPr>
        <w:t xml:space="preserve">utilizado no Protocolo </w:t>
      </w:r>
      <w:r w:rsidR="006736A3" w:rsidRPr="00D01E89">
        <w:rPr>
          <w:rFonts w:ascii="Arial" w:hAnsi="Arial" w:cs="Arial"/>
          <w:sz w:val="24"/>
          <w:szCs w:val="24"/>
          <w:lang w:val="pt-BR"/>
        </w:rPr>
        <w:lastRenderedPageBreak/>
        <w:t xml:space="preserve">deve ser interpretado no âmbito do </w:t>
      </w:r>
      <w:r w:rsidR="00886AD9" w:rsidRPr="00D01E89">
        <w:rPr>
          <w:rFonts w:ascii="Arial" w:hAnsi="Arial" w:cs="Arial"/>
          <w:sz w:val="24"/>
          <w:szCs w:val="24"/>
          <w:lang w:val="pt-BR"/>
        </w:rPr>
        <w:t>GATS</w:t>
      </w:r>
      <w:r w:rsidR="00EF6BE1" w:rsidRPr="00D01E89">
        <w:rPr>
          <w:rFonts w:ascii="Arial" w:hAnsi="Arial" w:cs="Arial"/>
          <w:sz w:val="24"/>
          <w:szCs w:val="24"/>
          <w:lang w:val="pt-BR"/>
        </w:rPr>
        <w:t xml:space="preserve">, pelo </w:t>
      </w:r>
      <w:r w:rsidR="00B73C9A" w:rsidRPr="00D01E89">
        <w:rPr>
          <w:rFonts w:ascii="Arial" w:hAnsi="Arial" w:cs="Arial"/>
          <w:sz w:val="24"/>
          <w:szCs w:val="24"/>
          <w:lang w:val="pt-BR"/>
        </w:rPr>
        <w:t xml:space="preserve">que um </w:t>
      </w:r>
      <w:r w:rsidR="00AC3782" w:rsidRPr="00D01E89">
        <w:rPr>
          <w:rFonts w:ascii="Arial" w:hAnsi="Arial" w:cs="Arial"/>
          <w:sz w:val="24"/>
          <w:szCs w:val="24"/>
          <w:lang w:val="pt-BR"/>
        </w:rPr>
        <w:t>Estado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AC3782" w:rsidRPr="00D01E89">
        <w:rPr>
          <w:rFonts w:ascii="Arial" w:hAnsi="Arial" w:cs="Arial"/>
          <w:sz w:val="24"/>
          <w:szCs w:val="24"/>
          <w:lang w:val="pt-BR"/>
        </w:rPr>
        <w:t xml:space="preserve">Membro </w:t>
      </w:r>
      <w:r w:rsidR="00B441BF" w:rsidRPr="00D01E89">
        <w:rPr>
          <w:rFonts w:ascii="Arial" w:hAnsi="Arial" w:cs="Arial"/>
          <w:sz w:val="24"/>
          <w:szCs w:val="24"/>
          <w:lang w:val="pt-BR"/>
        </w:rPr>
        <w:t xml:space="preserve">considerado </w:t>
      </w:r>
      <w:r w:rsidR="00880694">
        <w:rPr>
          <w:rFonts w:ascii="Arial" w:hAnsi="Arial" w:cs="Arial"/>
          <w:sz w:val="24"/>
          <w:szCs w:val="24"/>
          <w:lang w:val="pt-BR"/>
        </w:rPr>
        <w:t>LDC</w:t>
      </w:r>
      <w:r w:rsidR="00C65912" w:rsidRPr="00D01E89">
        <w:rPr>
          <w:rFonts w:ascii="Arial" w:hAnsi="Arial" w:cs="Arial"/>
          <w:sz w:val="24"/>
          <w:szCs w:val="24"/>
          <w:lang w:val="pt-BR"/>
        </w:rPr>
        <w:t xml:space="preserve"> no âmbito </w:t>
      </w:r>
      <w:r w:rsidR="00B441BF" w:rsidRPr="00D01E89">
        <w:rPr>
          <w:rFonts w:ascii="Arial" w:hAnsi="Arial" w:cs="Arial"/>
          <w:sz w:val="24"/>
          <w:szCs w:val="24"/>
          <w:lang w:val="pt-BR"/>
        </w:rPr>
        <w:t xml:space="preserve">da </w:t>
      </w:r>
      <w:r w:rsidR="00880694">
        <w:rPr>
          <w:rFonts w:ascii="Arial" w:hAnsi="Arial" w:cs="Arial"/>
          <w:sz w:val="24"/>
          <w:szCs w:val="24"/>
          <w:lang w:val="pt-BR"/>
        </w:rPr>
        <w:t>WTO</w:t>
      </w:r>
      <w:r w:rsidR="00C65912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teria </w:t>
      </w:r>
      <w:r w:rsidR="00F11DFC" w:rsidRPr="00D01E89">
        <w:rPr>
          <w:rFonts w:ascii="Arial" w:hAnsi="Arial" w:cs="Arial"/>
          <w:sz w:val="24"/>
          <w:szCs w:val="24"/>
          <w:lang w:val="pt-BR"/>
        </w:rPr>
        <w:t xml:space="preserve">o mesmo estatuto </w:t>
      </w:r>
      <w:r w:rsidR="00C26212" w:rsidRPr="00D01E89">
        <w:rPr>
          <w:rFonts w:ascii="Arial" w:hAnsi="Arial" w:cs="Arial"/>
          <w:sz w:val="24"/>
          <w:szCs w:val="24"/>
          <w:lang w:val="pt-BR"/>
        </w:rPr>
        <w:t xml:space="preserve">no âmbito do Protocolo. </w:t>
      </w:r>
    </w:p>
    <w:p w14:paraId="227C3C22" w14:textId="77777777" w:rsidR="0019012A" w:rsidRPr="00D01E89" w:rsidRDefault="00672815">
      <w:pPr>
        <w:pStyle w:val="ListParagraph"/>
        <w:numPr>
          <w:ilvl w:val="2"/>
          <w:numId w:val="4"/>
        </w:numPr>
        <w:spacing w:before="240" w:after="0" w:line="312" w:lineRule="auto"/>
        <w:ind w:left="2430" w:right="372" w:hanging="72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Entidades responsáveis pela prestação de </w:t>
      </w:r>
      <w:r w:rsidR="00D83A8D"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assistência técnica </w:t>
      </w:r>
      <w:r w:rsidR="00F95DD0" w:rsidRPr="00D01E89">
        <w:rPr>
          <w:rFonts w:ascii="Arial" w:hAnsi="Arial" w:cs="Arial"/>
          <w:sz w:val="24"/>
          <w:szCs w:val="24"/>
          <w:lang w:val="pt-BR"/>
        </w:rPr>
        <w:t>- O n</w:t>
      </w:r>
      <w:r w:rsidR="00304247" w:rsidRPr="00D01E89">
        <w:rPr>
          <w:rFonts w:ascii="Arial" w:hAnsi="Arial" w:cs="Arial"/>
          <w:sz w:val="24"/>
          <w:szCs w:val="24"/>
          <w:lang w:val="pt-BR"/>
        </w:rPr>
        <w:t xml:space="preserve">.º 3 do artigo 7.º </w:t>
      </w:r>
      <w:r w:rsidR="00A445EC" w:rsidRPr="00D01E89">
        <w:rPr>
          <w:rFonts w:ascii="Arial" w:hAnsi="Arial" w:cs="Arial"/>
          <w:sz w:val="24"/>
          <w:szCs w:val="24"/>
          <w:lang w:val="pt-BR"/>
        </w:rPr>
        <w:t xml:space="preserve">do </w:t>
      </w:r>
      <w:r w:rsidR="00F11BE0" w:rsidRPr="00D01E89">
        <w:rPr>
          <w:rFonts w:ascii="Arial" w:hAnsi="Arial" w:cs="Arial"/>
          <w:kern w:val="0"/>
          <w:sz w:val="24"/>
          <w:szCs w:val="24"/>
          <w:lang w:val="pt-BR"/>
        </w:rPr>
        <w:t xml:space="preserve">Protocolo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estabelece </w:t>
      </w:r>
      <w:r w:rsidR="00895CA3" w:rsidRPr="00D01E89">
        <w:rPr>
          <w:rFonts w:ascii="Arial" w:hAnsi="Arial" w:cs="Arial"/>
          <w:sz w:val="24"/>
          <w:szCs w:val="24"/>
          <w:lang w:val="pt-BR"/>
        </w:rPr>
        <w:t>que "</w:t>
      </w:r>
      <w:r w:rsidR="00895CA3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os membros devem esforçar-se por </w:t>
      </w:r>
      <w:r w:rsidR="00895CA3" w:rsidRPr="00D01E89">
        <w:rPr>
          <w:rFonts w:ascii="Arial" w:hAnsi="Arial" w:cs="Arial"/>
          <w:i/>
          <w:iCs/>
          <w:sz w:val="24"/>
          <w:szCs w:val="24"/>
          <w:lang w:val="pt-BR"/>
        </w:rPr>
        <w:br/>
        <w:t>prestar essa assistência</w:t>
      </w:r>
      <w:r w:rsidR="00895CA3" w:rsidRPr="00D01E89">
        <w:rPr>
          <w:rFonts w:ascii="Arial" w:hAnsi="Arial" w:cs="Arial"/>
          <w:sz w:val="24"/>
          <w:szCs w:val="24"/>
          <w:lang w:val="pt-BR"/>
        </w:rPr>
        <w:t>"</w:t>
      </w:r>
      <w:r w:rsidR="00A445EC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pelo que </w:t>
      </w:r>
      <w:r w:rsidR="00D76F76" w:rsidRPr="00D01E89">
        <w:rPr>
          <w:rFonts w:ascii="Arial" w:hAnsi="Arial" w:cs="Arial"/>
          <w:sz w:val="24"/>
          <w:szCs w:val="24"/>
          <w:lang w:val="pt-BR"/>
        </w:rPr>
        <w:t xml:space="preserve">a responsabilidade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cabe </w:t>
      </w:r>
      <w:r w:rsidR="00D76F76" w:rsidRPr="00D01E89">
        <w:rPr>
          <w:rFonts w:ascii="Arial" w:hAnsi="Arial" w:cs="Arial"/>
          <w:sz w:val="24"/>
          <w:szCs w:val="24"/>
          <w:lang w:val="pt-BR"/>
        </w:rPr>
        <w:t>aos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D76F76" w:rsidRPr="00D01E89">
        <w:rPr>
          <w:rFonts w:ascii="Arial" w:hAnsi="Arial" w:cs="Arial"/>
          <w:sz w:val="24"/>
          <w:szCs w:val="24"/>
          <w:lang w:val="pt-BR"/>
        </w:rPr>
        <w:t xml:space="preserve">Membros. No entanto, foi referido que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era </w:t>
      </w:r>
      <w:r w:rsidR="00C51DCC" w:rsidRPr="00D01E89">
        <w:rPr>
          <w:rFonts w:ascii="Arial" w:hAnsi="Arial" w:cs="Arial"/>
          <w:sz w:val="24"/>
          <w:szCs w:val="24"/>
          <w:lang w:val="pt-BR"/>
        </w:rPr>
        <w:t xml:space="preserve">possível </w:t>
      </w:r>
      <w:r w:rsidR="007F7671" w:rsidRPr="00D01E89">
        <w:rPr>
          <w:rFonts w:ascii="Arial" w:hAnsi="Arial" w:cs="Arial"/>
          <w:sz w:val="24"/>
          <w:szCs w:val="24"/>
          <w:lang w:val="pt-BR"/>
        </w:rPr>
        <w:t xml:space="preserve">que </w:t>
      </w:r>
      <w:r w:rsidR="00716173" w:rsidRPr="00D01E89">
        <w:rPr>
          <w:rFonts w:ascii="Arial" w:hAnsi="Arial" w:cs="Arial"/>
          <w:sz w:val="24"/>
          <w:szCs w:val="24"/>
          <w:lang w:val="pt-BR"/>
        </w:rPr>
        <w:t xml:space="preserve">os organismos </w:t>
      </w:r>
      <w:r w:rsidR="003519D1" w:rsidRPr="00D01E89">
        <w:rPr>
          <w:rFonts w:ascii="Arial" w:hAnsi="Arial" w:cs="Arial"/>
          <w:sz w:val="24"/>
          <w:szCs w:val="24"/>
          <w:lang w:val="pt-BR"/>
        </w:rPr>
        <w:t xml:space="preserve">profissionais </w:t>
      </w:r>
      <w:r w:rsidR="007F7671" w:rsidRPr="00D01E89">
        <w:rPr>
          <w:rFonts w:ascii="Arial" w:hAnsi="Arial" w:cs="Arial"/>
          <w:sz w:val="24"/>
          <w:szCs w:val="24"/>
          <w:lang w:val="pt-BR"/>
        </w:rPr>
        <w:t xml:space="preserve">dos </w:t>
      </w:r>
      <w:r w:rsidR="00716173" w:rsidRPr="00D01E89">
        <w:rPr>
          <w:rFonts w:ascii="Arial" w:hAnsi="Arial" w:cs="Arial"/>
          <w:sz w:val="24"/>
          <w:szCs w:val="24"/>
          <w:lang w:val="pt-BR"/>
        </w:rPr>
        <w:t>Estados Partes se apoiassem mutuamente</w:t>
      </w:r>
      <w:r w:rsidR="00A54A45" w:rsidRPr="00D01E89">
        <w:rPr>
          <w:rFonts w:ascii="Arial" w:hAnsi="Arial" w:cs="Arial"/>
          <w:sz w:val="24"/>
          <w:szCs w:val="24"/>
          <w:lang w:val="pt-BR"/>
        </w:rPr>
        <w:t xml:space="preserve">, em conformidade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com qualquer </w:t>
      </w:r>
      <w:r w:rsidR="003057CF" w:rsidRPr="00D01E89">
        <w:rPr>
          <w:rFonts w:ascii="Arial" w:hAnsi="Arial" w:cs="Arial"/>
          <w:sz w:val="24"/>
          <w:szCs w:val="24"/>
          <w:lang w:val="pt-BR"/>
        </w:rPr>
        <w:t xml:space="preserve">cooperação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técnica acordada </w:t>
      </w:r>
      <w:r w:rsidR="00A54A45" w:rsidRPr="00D01E89">
        <w:rPr>
          <w:rFonts w:ascii="Arial" w:hAnsi="Arial" w:cs="Arial"/>
          <w:sz w:val="24"/>
          <w:szCs w:val="24"/>
          <w:lang w:val="pt-BR"/>
        </w:rPr>
        <w:t>no âmbito do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A54A45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2114F2" w:rsidRPr="00D01E89">
        <w:rPr>
          <w:rFonts w:ascii="Arial" w:hAnsi="Arial" w:cs="Arial"/>
          <w:sz w:val="24"/>
          <w:szCs w:val="24"/>
          <w:lang w:val="pt-BR"/>
        </w:rPr>
        <w:t xml:space="preserve">sectoriais ou </w:t>
      </w:r>
      <w:r w:rsidR="00AF69AE" w:rsidRPr="00D01E89">
        <w:rPr>
          <w:rFonts w:ascii="Arial" w:hAnsi="Arial" w:cs="Arial"/>
          <w:sz w:val="24"/>
          <w:szCs w:val="24"/>
          <w:lang w:val="pt-BR"/>
        </w:rPr>
        <w:t>profissionais específicos</w:t>
      </w:r>
      <w:r w:rsidR="00047647" w:rsidRPr="00D01E89">
        <w:rPr>
          <w:rFonts w:ascii="Arial" w:hAnsi="Arial" w:cs="Arial"/>
          <w:sz w:val="24"/>
          <w:szCs w:val="24"/>
          <w:lang w:val="pt-BR"/>
        </w:rPr>
        <w:t xml:space="preserve">, para ajudar os </w:t>
      </w:r>
      <w:r w:rsidR="00880694">
        <w:rPr>
          <w:rFonts w:ascii="Arial" w:hAnsi="Arial" w:cs="Arial"/>
          <w:sz w:val="24"/>
          <w:szCs w:val="24"/>
          <w:lang w:val="pt-BR"/>
        </w:rPr>
        <w:t>LDC</w:t>
      </w:r>
      <w:r w:rsidR="00047647" w:rsidRPr="00D01E89">
        <w:rPr>
          <w:rFonts w:ascii="Arial" w:hAnsi="Arial" w:cs="Arial"/>
          <w:sz w:val="24"/>
          <w:szCs w:val="24"/>
          <w:lang w:val="pt-BR"/>
        </w:rPr>
        <w:t xml:space="preserve"> a aceder aos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E141BA" w:rsidRPr="00D01E89">
        <w:rPr>
          <w:rFonts w:ascii="Arial" w:hAnsi="Arial" w:cs="Arial"/>
          <w:sz w:val="24"/>
          <w:szCs w:val="24"/>
          <w:lang w:val="pt-BR"/>
        </w:rPr>
        <w:t xml:space="preserve">. O </w:t>
      </w:r>
      <w:r w:rsidR="00A426F5" w:rsidRPr="00D01E89">
        <w:rPr>
          <w:rFonts w:ascii="Arial" w:hAnsi="Arial" w:cs="Arial"/>
          <w:sz w:val="24"/>
          <w:szCs w:val="24"/>
          <w:lang w:val="pt-BR"/>
        </w:rPr>
        <w:t xml:space="preserve">sector privado e os organismos profissionais </w:t>
      </w:r>
      <w:r w:rsidR="00AF69AE" w:rsidRPr="00D01E89">
        <w:rPr>
          <w:rFonts w:ascii="Arial" w:hAnsi="Arial" w:cs="Arial"/>
          <w:sz w:val="24"/>
          <w:szCs w:val="24"/>
          <w:lang w:val="pt-BR"/>
        </w:rPr>
        <w:t xml:space="preserve">regionais e </w:t>
      </w:r>
      <w:r w:rsidR="00A426F5" w:rsidRPr="00D01E89">
        <w:rPr>
          <w:rFonts w:ascii="Arial" w:hAnsi="Arial" w:cs="Arial"/>
          <w:sz w:val="24"/>
          <w:szCs w:val="24"/>
          <w:lang w:val="pt-BR"/>
        </w:rPr>
        <w:t xml:space="preserve">internacionais 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poderiam igualmente prestar apoio </w:t>
      </w:r>
      <w:r w:rsidR="00AF69AE" w:rsidRPr="00D01E89">
        <w:rPr>
          <w:rFonts w:ascii="Arial" w:hAnsi="Arial" w:cs="Arial"/>
          <w:sz w:val="24"/>
          <w:szCs w:val="24"/>
          <w:lang w:val="pt-BR"/>
        </w:rPr>
        <w:t xml:space="preserve">às associações profissionais nacionais.  </w:t>
      </w:r>
      <w:r w:rsidR="00797C08" w:rsidRPr="00D01E89">
        <w:rPr>
          <w:rFonts w:ascii="Arial" w:hAnsi="Arial" w:cs="Arial"/>
          <w:sz w:val="24"/>
          <w:szCs w:val="24"/>
          <w:lang w:val="pt-BR"/>
        </w:rPr>
        <w:t xml:space="preserve">Tal não </w:t>
      </w:r>
      <w:r w:rsidR="001315A9" w:rsidRPr="00D01E89">
        <w:rPr>
          <w:rFonts w:ascii="Arial" w:hAnsi="Arial" w:cs="Arial"/>
          <w:sz w:val="24"/>
          <w:szCs w:val="24"/>
          <w:lang w:val="pt-BR"/>
        </w:rPr>
        <w:t xml:space="preserve">prejudicaria </w:t>
      </w:r>
      <w:r w:rsidR="00797C08" w:rsidRPr="00D01E89">
        <w:rPr>
          <w:rFonts w:ascii="Arial" w:hAnsi="Arial" w:cs="Arial"/>
          <w:sz w:val="24"/>
          <w:szCs w:val="24"/>
          <w:lang w:val="pt-BR"/>
        </w:rPr>
        <w:t xml:space="preserve">o papel </w:t>
      </w:r>
      <w:r w:rsidR="001315A9" w:rsidRPr="00D01E89">
        <w:rPr>
          <w:rFonts w:ascii="Arial" w:hAnsi="Arial" w:cs="Arial"/>
          <w:sz w:val="24"/>
          <w:szCs w:val="24"/>
          <w:lang w:val="pt-BR"/>
        </w:rPr>
        <w:t xml:space="preserve">do </w:t>
      </w:r>
      <w:r w:rsidR="00E141BA" w:rsidRPr="00D01E89">
        <w:rPr>
          <w:rFonts w:ascii="Arial" w:hAnsi="Arial" w:cs="Arial"/>
          <w:sz w:val="24"/>
          <w:szCs w:val="24"/>
          <w:lang w:val="pt-BR"/>
        </w:rPr>
        <w:t xml:space="preserve">Secretariado, </w:t>
      </w:r>
      <w:r w:rsidR="00A2706B" w:rsidRPr="00D01E89">
        <w:rPr>
          <w:rFonts w:ascii="Arial" w:hAnsi="Arial" w:cs="Arial"/>
          <w:sz w:val="24"/>
          <w:szCs w:val="24"/>
          <w:lang w:val="pt-BR"/>
        </w:rPr>
        <w:t>incluindo a mobilização de recursos</w:t>
      </w:r>
      <w:r w:rsidR="001315A9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797C08" w:rsidRPr="00D01E89">
        <w:rPr>
          <w:rFonts w:ascii="Arial" w:hAnsi="Arial" w:cs="Arial"/>
          <w:sz w:val="24"/>
          <w:szCs w:val="24"/>
          <w:lang w:val="pt-BR"/>
        </w:rPr>
        <w:t xml:space="preserve">consoante o tipo de assistência </w:t>
      </w:r>
      <w:r w:rsidR="00AC3782" w:rsidRPr="00D01E89">
        <w:rPr>
          <w:rFonts w:ascii="Arial" w:hAnsi="Arial" w:cs="Arial"/>
          <w:sz w:val="24"/>
          <w:szCs w:val="24"/>
          <w:lang w:val="pt-BR"/>
        </w:rPr>
        <w:t>necessária</w:t>
      </w:r>
      <w:r w:rsidR="00345B3E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131B9DD3" w14:textId="77777777" w:rsidR="001178C9" w:rsidRPr="00D01E89" w:rsidRDefault="001178C9" w:rsidP="000953A4">
      <w:pPr>
        <w:spacing w:after="0" w:line="312" w:lineRule="auto"/>
        <w:ind w:left="851"/>
        <w:jc w:val="both"/>
        <w:rPr>
          <w:rFonts w:ascii="Arial" w:hAnsi="Arial" w:cs="Arial"/>
          <w:sz w:val="24"/>
          <w:szCs w:val="24"/>
          <w:lang w:val="pt-BR"/>
        </w:rPr>
      </w:pPr>
    </w:p>
    <w:p w14:paraId="25826758" w14:textId="77777777" w:rsidR="0019012A" w:rsidRPr="00D01E89" w:rsidRDefault="00895CA3">
      <w:pPr>
        <w:pStyle w:val="ListParagraph"/>
        <w:numPr>
          <w:ilvl w:val="0"/>
          <w:numId w:val="12"/>
        </w:numPr>
        <w:shd w:val="clear" w:color="auto" w:fill="D9D9D9" w:themeFill="background1" w:themeFillShade="D9"/>
        <w:spacing w:after="0" w:line="312" w:lineRule="auto"/>
        <w:ind w:left="1710" w:hanging="900"/>
        <w:jc w:val="both"/>
        <w:rPr>
          <w:rFonts w:ascii="Arial" w:hAnsi="Arial" w:cs="Arial"/>
          <w:sz w:val="24"/>
          <w:szCs w:val="24"/>
          <w:u w:val="single"/>
          <w:shd w:val="clear" w:color="auto" w:fill="D9D9D9" w:themeFill="background1" w:themeFillShade="D9"/>
          <w:lang w:val="pt-BR"/>
        </w:rPr>
      </w:pPr>
      <w:r w:rsidRPr="00D01E89">
        <w:rPr>
          <w:rFonts w:ascii="Arial" w:hAnsi="Arial" w:cs="Arial"/>
          <w:sz w:val="24"/>
          <w:szCs w:val="24"/>
          <w:u w:val="single"/>
          <w:shd w:val="clear" w:color="auto" w:fill="D9D9D9" w:themeFill="background1" w:themeFillShade="D9"/>
          <w:lang w:val="pt-BR"/>
        </w:rPr>
        <w:t xml:space="preserve">Conclusão </w:t>
      </w:r>
      <w:r w:rsidR="00B37FD6" w:rsidRPr="00D01E89">
        <w:rPr>
          <w:rFonts w:ascii="Arial" w:hAnsi="Arial" w:cs="Arial"/>
          <w:sz w:val="24"/>
          <w:szCs w:val="24"/>
          <w:u w:val="single"/>
          <w:shd w:val="clear" w:color="auto" w:fill="D9D9D9" w:themeFill="background1" w:themeFillShade="D9"/>
          <w:lang w:val="pt-BR"/>
        </w:rPr>
        <w:t>5</w:t>
      </w:r>
      <w:r w:rsidRPr="00D01E89">
        <w:rPr>
          <w:rFonts w:ascii="Arial" w:hAnsi="Arial" w:cs="Arial"/>
          <w:sz w:val="24"/>
          <w:szCs w:val="24"/>
          <w:u w:val="single"/>
          <w:shd w:val="clear" w:color="auto" w:fill="D9D9D9" w:themeFill="background1" w:themeFillShade="D9"/>
          <w:lang w:val="pt-BR"/>
        </w:rPr>
        <w:t xml:space="preserve">: </w:t>
      </w:r>
      <w:r w:rsidR="005B238D" w:rsidRPr="00D01E89">
        <w:rPr>
          <w:rFonts w:ascii="Arial" w:hAnsi="Arial" w:cs="Arial"/>
          <w:sz w:val="24"/>
          <w:szCs w:val="24"/>
          <w:u w:val="single"/>
          <w:lang w:val="pt-BR"/>
        </w:rPr>
        <w:t>Abordagem de negociação [Secção 3]</w:t>
      </w:r>
    </w:p>
    <w:p w14:paraId="16C35D95" w14:textId="77777777" w:rsidR="0019012A" w:rsidRPr="00D01E89" w:rsidRDefault="00AF69AE">
      <w:pPr>
        <w:pStyle w:val="ListParagraph"/>
        <w:numPr>
          <w:ilvl w:val="0"/>
          <w:numId w:val="16"/>
        </w:numPr>
        <w:shd w:val="clear" w:color="auto" w:fill="D9D9D9" w:themeFill="background1" w:themeFillShade="D9"/>
        <w:spacing w:before="240" w:after="0" w:line="312" w:lineRule="auto"/>
        <w:jc w:val="both"/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</w:pPr>
      <w:r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O ponto 3.1 deve </w:t>
      </w:r>
      <w:r w:rsidR="00895CA3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ser reformulado para </w:t>
      </w:r>
      <w:r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incluir </w:t>
      </w:r>
      <w:r w:rsidR="00895CA3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uma </w:t>
      </w:r>
      <w:r w:rsidR="000645D7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lista de serviços profissionais, tal como </w:t>
      </w:r>
      <w:r w:rsidR="00B441BF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previsto </w:t>
      </w:r>
      <w:r w:rsidR="000645D7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>na lista de serviços W/120</w:t>
      </w:r>
      <w:r w:rsidR="003E7F47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, e </w:t>
      </w:r>
    </w:p>
    <w:p w14:paraId="5FE9E2F6" w14:textId="77777777" w:rsidR="0019012A" w:rsidRPr="00D01E89" w:rsidRDefault="00895CA3">
      <w:pPr>
        <w:pStyle w:val="ListParagraph"/>
        <w:numPr>
          <w:ilvl w:val="0"/>
          <w:numId w:val="16"/>
        </w:numPr>
        <w:shd w:val="clear" w:color="auto" w:fill="D9D9D9" w:themeFill="background1" w:themeFillShade="D9"/>
        <w:spacing w:before="240" w:after="0" w:line="312" w:lineRule="auto"/>
        <w:jc w:val="both"/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</w:pPr>
      <w:r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>Suprimir a palavra "</w:t>
      </w:r>
      <w:r w:rsidRPr="00D01E89">
        <w:rPr>
          <w:rFonts w:ascii="Arial" w:hAnsi="Arial" w:cs="Arial"/>
          <w:i/>
          <w:iCs/>
          <w:sz w:val="24"/>
          <w:szCs w:val="24"/>
          <w:shd w:val="clear" w:color="auto" w:fill="D9D9D9" w:themeFill="background1" w:themeFillShade="D9"/>
          <w:lang w:val="pt-BR"/>
        </w:rPr>
        <w:t xml:space="preserve">esforçar-se </w:t>
      </w:r>
      <w:r w:rsidR="004E380C" w:rsidRPr="00D01E89">
        <w:rPr>
          <w:rFonts w:ascii="Arial" w:hAnsi="Arial" w:cs="Arial"/>
          <w:i/>
          <w:iCs/>
          <w:sz w:val="24"/>
          <w:szCs w:val="24"/>
          <w:shd w:val="clear" w:color="auto" w:fill="D9D9D9" w:themeFill="background1" w:themeFillShade="D9"/>
          <w:lang w:val="pt-BR"/>
        </w:rPr>
        <w:t>por</w:t>
      </w:r>
      <w:r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" que aparece entre </w:t>
      </w:r>
      <w:r w:rsidR="00834D4F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"... </w:t>
      </w:r>
      <w:r w:rsidR="00834D4F" w:rsidRPr="00D01E89">
        <w:rPr>
          <w:rFonts w:ascii="Arial" w:hAnsi="Arial" w:cs="Arial"/>
          <w:i/>
          <w:iCs/>
          <w:sz w:val="24"/>
          <w:szCs w:val="24"/>
          <w:shd w:val="clear" w:color="auto" w:fill="D9D9D9" w:themeFill="background1" w:themeFillShade="D9"/>
          <w:lang w:val="pt-BR"/>
        </w:rPr>
        <w:t>as Partes devem</w:t>
      </w:r>
      <w:r w:rsidR="004A24D5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" e </w:t>
      </w:r>
      <w:r w:rsidR="004E380C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>"</w:t>
      </w:r>
      <w:r w:rsidR="004E380C" w:rsidRPr="00D01E89">
        <w:rPr>
          <w:rFonts w:ascii="Arial" w:hAnsi="Arial" w:cs="Arial"/>
          <w:i/>
          <w:iCs/>
          <w:sz w:val="24"/>
          <w:szCs w:val="24"/>
          <w:shd w:val="clear" w:color="auto" w:fill="D9D9D9" w:themeFill="background1" w:themeFillShade="D9"/>
          <w:lang w:val="pt-BR"/>
        </w:rPr>
        <w:t xml:space="preserve">prestar </w:t>
      </w:r>
      <w:r w:rsidR="00834D4F" w:rsidRPr="00D01E89">
        <w:rPr>
          <w:rFonts w:ascii="Arial" w:hAnsi="Arial" w:cs="Arial"/>
          <w:i/>
          <w:iCs/>
          <w:sz w:val="24"/>
          <w:szCs w:val="24"/>
          <w:shd w:val="clear" w:color="auto" w:fill="D9D9D9" w:themeFill="background1" w:themeFillShade="D9"/>
          <w:lang w:val="pt-BR"/>
        </w:rPr>
        <w:t xml:space="preserve">assistência técnica </w:t>
      </w:r>
      <w:r w:rsidR="004A24D5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..." no </w:t>
      </w:r>
      <w:r w:rsidR="004E380C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>ponto 3.</w:t>
      </w:r>
      <w:r w:rsidR="00C4341E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>3</w:t>
      </w:r>
      <w:r w:rsidR="001658A2" w:rsidRPr="00D01E89">
        <w:rPr>
          <w:rFonts w:ascii="Arial" w:hAnsi="Arial" w:cs="Arial"/>
          <w:sz w:val="24"/>
          <w:szCs w:val="24"/>
          <w:shd w:val="clear" w:color="auto" w:fill="D9D9D9" w:themeFill="background1" w:themeFillShade="D9"/>
          <w:lang w:val="pt-BR"/>
        </w:rPr>
        <w:t xml:space="preserve">.                                    </w:t>
      </w:r>
    </w:p>
    <w:p w14:paraId="2AB4DC4C" w14:textId="77777777" w:rsidR="0019012A" w:rsidRPr="00D01E89" w:rsidRDefault="00895CA3">
      <w:pPr>
        <w:pStyle w:val="ListParagraph"/>
        <w:numPr>
          <w:ilvl w:val="2"/>
          <w:numId w:val="1"/>
        </w:numPr>
        <w:spacing w:before="240" w:after="0" w:line="312" w:lineRule="auto"/>
        <w:ind w:hanging="1224"/>
        <w:jc w:val="both"/>
        <w:rPr>
          <w:rFonts w:ascii="Arial Bold" w:hAnsi="Arial Bold" w:cs="Arial"/>
          <w:b/>
          <w:bCs/>
          <w:caps/>
          <w:sz w:val="24"/>
          <w:szCs w:val="24"/>
          <w:lang w:val="pt-BR"/>
        </w:rPr>
      </w:pPr>
      <w:r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>Domínios profissionais prioritários para o</w:t>
      </w:r>
      <w:r w:rsidR="004C6578">
        <w:rPr>
          <w:rFonts w:ascii="Arial Bold" w:hAnsi="Arial Bold" w:cs="Arial"/>
          <w:b/>
          <w:bCs/>
          <w:caps/>
          <w:sz w:val="24"/>
          <w:szCs w:val="24"/>
          <w:lang w:val="pt-BR"/>
        </w:rPr>
        <w:t xml:space="preserve"> </w:t>
      </w:r>
      <w:r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 xml:space="preserve"> </w:t>
      </w:r>
      <w:r w:rsidR="00880694">
        <w:rPr>
          <w:rFonts w:ascii="Arial Bold" w:hAnsi="Arial Bold" w:cs="Arial"/>
          <w:b/>
          <w:bCs/>
          <w:sz w:val="24"/>
          <w:szCs w:val="24"/>
          <w:lang w:val="pt-BR"/>
        </w:rPr>
        <w:t>MRA</w:t>
      </w:r>
      <w:r w:rsidRPr="00D01E89">
        <w:rPr>
          <w:rFonts w:ascii="Arial Bold" w:hAnsi="Arial Bold" w:cs="Arial"/>
          <w:b/>
          <w:bCs/>
          <w:sz w:val="24"/>
          <w:szCs w:val="24"/>
          <w:lang w:val="pt-BR"/>
        </w:rPr>
        <w:t xml:space="preserve"> </w:t>
      </w:r>
      <w:r w:rsidR="007F504A"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>[Secção 4]</w:t>
      </w:r>
    </w:p>
    <w:p w14:paraId="77741CC8" w14:textId="77777777" w:rsidR="0019012A" w:rsidRDefault="00086C17">
      <w:pPr>
        <w:pStyle w:val="ListParagraph"/>
        <w:numPr>
          <w:ilvl w:val="0"/>
          <w:numId w:val="15"/>
        </w:numPr>
        <w:spacing w:before="240" w:after="0" w:line="312" w:lineRule="auto"/>
        <w:ind w:hanging="761"/>
        <w:jc w:val="both"/>
        <w:rPr>
          <w:rFonts w:ascii="Arial" w:hAnsi="Arial" w:cs="Arial"/>
          <w:b/>
          <w:bCs/>
          <w:sz w:val="24"/>
          <w:szCs w:val="24"/>
        </w:rPr>
      </w:pPr>
      <w:r w:rsidRPr="00F101A0">
        <w:rPr>
          <w:rFonts w:ascii="Arial" w:hAnsi="Arial" w:cs="Arial"/>
          <w:b/>
          <w:bCs/>
          <w:sz w:val="24"/>
          <w:szCs w:val="24"/>
        </w:rPr>
        <w:t xml:space="preserve">Pontos </w:t>
      </w:r>
      <w:r w:rsidR="004025EB" w:rsidRPr="00F101A0">
        <w:rPr>
          <w:rFonts w:ascii="Arial" w:hAnsi="Arial" w:cs="Arial"/>
          <w:b/>
          <w:bCs/>
          <w:sz w:val="24"/>
          <w:szCs w:val="24"/>
        </w:rPr>
        <w:t>4.1</w:t>
      </w:r>
      <w:r w:rsidRPr="00F101A0">
        <w:rPr>
          <w:rFonts w:ascii="Arial" w:hAnsi="Arial" w:cs="Arial"/>
          <w:b/>
          <w:bCs/>
          <w:sz w:val="24"/>
          <w:szCs w:val="24"/>
        </w:rPr>
        <w:t>(a) e 4.1(b)</w:t>
      </w:r>
    </w:p>
    <w:p w14:paraId="3C81284E" w14:textId="77777777" w:rsidR="0019012A" w:rsidRPr="00D01E89" w:rsidRDefault="00895CA3">
      <w:pPr>
        <w:spacing w:before="240" w:after="0" w:line="312" w:lineRule="auto"/>
        <w:ind w:left="162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Registou-se que </w:t>
      </w:r>
      <w:r w:rsidR="00F06D77" w:rsidRPr="00D01E89">
        <w:rPr>
          <w:rFonts w:ascii="Arial" w:hAnsi="Arial" w:cs="Arial"/>
          <w:sz w:val="24"/>
          <w:szCs w:val="24"/>
          <w:lang w:val="pt-BR"/>
        </w:rPr>
        <w:t xml:space="preserve">o n.º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4 </w:t>
      </w:r>
      <w:r w:rsidR="008A0F4D" w:rsidRPr="00D01E89">
        <w:rPr>
          <w:rFonts w:ascii="Arial" w:hAnsi="Arial" w:cs="Arial"/>
          <w:sz w:val="24"/>
          <w:szCs w:val="24"/>
          <w:lang w:val="pt-BR"/>
        </w:rPr>
        <w:t xml:space="preserve">incluía a necessidade de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obter </w:t>
      </w:r>
      <w:r w:rsidR="008A0F4D" w:rsidRPr="00D01E89">
        <w:rPr>
          <w:rFonts w:ascii="Arial" w:hAnsi="Arial" w:cs="Arial"/>
          <w:sz w:val="24"/>
          <w:szCs w:val="24"/>
          <w:lang w:val="pt-BR"/>
        </w:rPr>
        <w:t>contributos das partes interessadas</w:t>
      </w:r>
      <w:r w:rsidR="00385FE3" w:rsidRPr="00D01E89">
        <w:rPr>
          <w:rFonts w:ascii="Arial" w:hAnsi="Arial" w:cs="Arial"/>
          <w:sz w:val="24"/>
          <w:szCs w:val="24"/>
          <w:lang w:val="pt-BR"/>
        </w:rPr>
        <w:t>, incluindo o Conselho Empresarial da SADC</w:t>
      </w:r>
      <w:r w:rsidRPr="00D01E89">
        <w:rPr>
          <w:rFonts w:ascii="Arial" w:hAnsi="Arial" w:cs="Arial"/>
          <w:sz w:val="24"/>
          <w:szCs w:val="24"/>
          <w:lang w:val="pt-BR"/>
        </w:rPr>
        <w:t>.  No entanto</w:t>
      </w:r>
      <w:r w:rsidR="008A0F4D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4267F2"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4267F2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7B190D" w:rsidRPr="00D01E89">
        <w:rPr>
          <w:rFonts w:ascii="Arial" w:hAnsi="Arial" w:cs="Arial"/>
          <w:sz w:val="24"/>
          <w:szCs w:val="24"/>
          <w:lang w:val="pt-BR"/>
        </w:rPr>
        <w:t xml:space="preserve">tinham </w:t>
      </w:r>
      <w:r w:rsidR="00B441BF" w:rsidRPr="00D01E89">
        <w:rPr>
          <w:rFonts w:ascii="Arial" w:hAnsi="Arial" w:cs="Arial"/>
          <w:sz w:val="24"/>
          <w:szCs w:val="24"/>
          <w:lang w:val="pt-BR"/>
        </w:rPr>
        <w:t>opiniões</w:t>
      </w:r>
      <w:r w:rsidR="007B190D" w:rsidRPr="00D01E89">
        <w:rPr>
          <w:rFonts w:ascii="Arial" w:hAnsi="Arial" w:cs="Arial"/>
          <w:sz w:val="24"/>
          <w:szCs w:val="24"/>
          <w:lang w:val="pt-BR"/>
        </w:rPr>
        <w:t xml:space="preserve"> divergentes sobre se </w:t>
      </w:r>
      <w:r w:rsidR="005E1101" w:rsidRPr="00D01E89">
        <w:rPr>
          <w:rFonts w:ascii="Arial" w:hAnsi="Arial" w:cs="Arial"/>
          <w:sz w:val="24"/>
          <w:szCs w:val="24"/>
          <w:lang w:val="pt-BR"/>
        </w:rPr>
        <w:t xml:space="preserve">o Conselho </w:t>
      </w:r>
      <w:r w:rsidR="00B441BF" w:rsidRPr="00D01E89">
        <w:rPr>
          <w:rFonts w:ascii="Arial" w:hAnsi="Arial" w:cs="Arial"/>
          <w:sz w:val="24"/>
          <w:szCs w:val="24"/>
          <w:lang w:val="pt-BR"/>
        </w:rPr>
        <w:t xml:space="preserve">tinha </w:t>
      </w:r>
      <w:r w:rsidR="00AC1A3A" w:rsidRPr="00D01E89">
        <w:rPr>
          <w:rFonts w:ascii="Arial" w:hAnsi="Arial" w:cs="Arial"/>
          <w:sz w:val="24"/>
          <w:szCs w:val="24"/>
          <w:lang w:val="pt-BR"/>
        </w:rPr>
        <w:t>a capacidade de articular</w:t>
      </w:r>
      <w:r w:rsidR="00637537" w:rsidRPr="00D01E89">
        <w:rPr>
          <w:rFonts w:ascii="Arial" w:hAnsi="Arial" w:cs="Arial"/>
          <w:sz w:val="24"/>
          <w:szCs w:val="24"/>
          <w:lang w:val="pt-BR"/>
        </w:rPr>
        <w:t xml:space="preserve">, defender e </w:t>
      </w:r>
      <w:r w:rsidR="00B441BF" w:rsidRPr="00D01E89">
        <w:rPr>
          <w:rFonts w:ascii="Arial" w:hAnsi="Arial" w:cs="Arial"/>
          <w:sz w:val="24"/>
          <w:szCs w:val="24"/>
          <w:lang w:val="pt-BR"/>
        </w:rPr>
        <w:t xml:space="preserve">assumir a </w:t>
      </w:r>
      <w:r w:rsidR="000354F1" w:rsidRPr="00D01E89">
        <w:rPr>
          <w:rFonts w:ascii="Arial" w:hAnsi="Arial" w:cs="Arial"/>
          <w:sz w:val="24"/>
          <w:szCs w:val="24"/>
          <w:lang w:val="pt-BR"/>
        </w:rPr>
        <w:t xml:space="preserve">liderança </w:t>
      </w:r>
      <w:r w:rsidR="00B441BF" w:rsidRPr="00D01E89">
        <w:rPr>
          <w:rFonts w:ascii="Arial" w:hAnsi="Arial" w:cs="Arial"/>
          <w:sz w:val="24"/>
          <w:szCs w:val="24"/>
          <w:lang w:val="pt-BR"/>
        </w:rPr>
        <w:t xml:space="preserve">na </w:t>
      </w:r>
      <w:r w:rsidR="005E1101" w:rsidRPr="00D01E89">
        <w:rPr>
          <w:rFonts w:ascii="Arial" w:hAnsi="Arial" w:cs="Arial"/>
          <w:sz w:val="24"/>
          <w:szCs w:val="24"/>
          <w:lang w:val="pt-BR"/>
        </w:rPr>
        <w:t xml:space="preserve">identificação de </w:t>
      </w:r>
      <w:r w:rsidR="000354F1" w:rsidRPr="00D01E89">
        <w:rPr>
          <w:rFonts w:ascii="Arial" w:hAnsi="Arial" w:cs="Arial"/>
          <w:sz w:val="24"/>
          <w:szCs w:val="24"/>
          <w:lang w:val="pt-BR"/>
        </w:rPr>
        <w:t>prioridades para o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0354F1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0354F1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607548" w:rsidRPr="00D01E89">
        <w:rPr>
          <w:rFonts w:ascii="Arial" w:hAnsi="Arial" w:cs="Arial"/>
          <w:sz w:val="24"/>
          <w:szCs w:val="24"/>
          <w:lang w:val="pt-BR"/>
        </w:rPr>
        <w:t xml:space="preserve">em vez dos </w:t>
      </w:r>
      <w:r w:rsidR="005E1101" w:rsidRPr="00D01E89">
        <w:rPr>
          <w:rFonts w:ascii="Arial" w:hAnsi="Arial" w:cs="Arial"/>
          <w:sz w:val="24"/>
          <w:szCs w:val="24"/>
          <w:lang w:val="pt-BR"/>
        </w:rPr>
        <w:t>organismos profissionais</w:t>
      </w:r>
      <w:r w:rsidR="0034789F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A50576" w:rsidRPr="00D01E89">
        <w:rPr>
          <w:rFonts w:ascii="Arial" w:hAnsi="Arial" w:cs="Arial"/>
          <w:sz w:val="24"/>
          <w:szCs w:val="24"/>
          <w:lang w:val="pt-BR"/>
        </w:rPr>
        <w:t xml:space="preserve">e 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de identificar </w:t>
      </w:r>
      <w:r w:rsidR="0026220C" w:rsidRPr="00D01E89">
        <w:rPr>
          <w:rFonts w:ascii="Arial" w:hAnsi="Arial" w:cs="Arial"/>
          <w:sz w:val="24"/>
          <w:szCs w:val="24"/>
          <w:lang w:val="pt-BR"/>
        </w:rPr>
        <w:t>possíveis barreiras aos serviços profissionais</w:t>
      </w:r>
      <w:r w:rsidR="00DA4A46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="00B76B77"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B76B77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DC0B21" w:rsidRPr="00D01E89">
        <w:rPr>
          <w:rFonts w:ascii="Arial" w:hAnsi="Arial" w:cs="Arial"/>
          <w:sz w:val="24"/>
          <w:szCs w:val="24"/>
          <w:lang w:val="pt-BR"/>
        </w:rPr>
        <w:t xml:space="preserve">observaram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também </w:t>
      </w:r>
      <w:r w:rsidR="00DC0B21" w:rsidRPr="00D01E89">
        <w:rPr>
          <w:rFonts w:ascii="Arial" w:hAnsi="Arial" w:cs="Arial"/>
          <w:sz w:val="24"/>
          <w:szCs w:val="24"/>
          <w:lang w:val="pt-BR"/>
        </w:rPr>
        <w:t xml:space="preserve">que o n.º 4 </w:t>
      </w:r>
      <w:r w:rsidR="00B441BF" w:rsidRPr="00D01E89">
        <w:rPr>
          <w:rFonts w:ascii="Arial" w:hAnsi="Arial" w:cs="Arial"/>
          <w:sz w:val="24"/>
          <w:szCs w:val="24"/>
          <w:lang w:val="pt-BR"/>
        </w:rPr>
        <w:t xml:space="preserve">foi </w:t>
      </w:r>
      <w:r w:rsidR="00DD0AFE" w:rsidRPr="00D01E89">
        <w:rPr>
          <w:rFonts w:ascii="Arial" w:hAnsi="Arial" w:cs="Arial"/>
          <w:sz w:val="24"/>
          <w:szCs w:val="24"/>
          <w:lang w:val="pt-BR"/>
        </w:rPr>
        <w:t xml:space="preserve">redigido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reconhecendo </w:t>
      </w:r>
      <w:r w:rsidR="00DC0B21" w:rsidRPr="00D01E89">
        <w:rPr>
          <w:rFonts w:ascii="Arial" w:hAnsi="Arial" w:cs="Arial"/>
          <w:sz w:val="24"/>
          <w:szCs w:val="24"/>
          <w:lang w:val="pt-BR"/>
        </w:rPr>
        <w:t xml:space="preserve">que os Estados Partes podem não ter capacidade para </w:t>
      </w:r>
      <w:r w:rsidR="00B441BF" w:rsidRPr="00D01E89">
        <w:rPr>
          <w:rFonts w:ascii="Arial" w:hAnsi="Arial" w:cs="Arial"/>
          <w:sz w:val="24"/>
          <w:szCs w:val="24"/>
          <w:lang w:val="pt-BR"/>
        </w:rPr>
        <w:t xml:space="preserve">negociar </w:t>
      </w:r>
      <w:r w:rsidR="00DC0B21" w:rsidRPr="00D01E89">
        <w:rPr>
          <w:rFonts w:ascii="Arial" w:hAnsi="Arial" w:cs="Arial"/>
          <w:sz w:val="24"/>
          <w:szCs w:val="24"/>
          <w:lang w:val="pt-BR"/>
        </w:rPr>
        <w:t xml:space="preserve">em paralelo todos os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DC0B21" w:rsidRPr="00D01E89">
        <w:rPr>
          <w:rFonts w:ascii="Arial" w:hAnsi="Arial" w:cs="Arial"/>
          <w:sz w:val="24"/>
          <w:szCs w:val="24"/>
          <w:lang w:val="pt-BR"/>
        </w:rPr>
        <w:t xml:space="preserve"> sectoriais ou </w:t>
      </w:r>
      <w:r w:rsidR="00DC0B21" w:rsidRPr="00D01E89">
        <w:rPr>
          <w:rFonts w:ascii="Arial" w:hAnsi="Arial" w:cs="Arial"/>
          <w:sz w:val="24"/>
          <w:szCs w:val="24"/>
          <w:lang w:val="pt-BR"/>
        </w:rPr>
        <w:lastRenderedPageBreak/>
        <w:t>profissionais</w:t>
      </w:r>
      <w:r w:rsidR="00AD7B32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Por conseguinte, era </w:t>
      </w:r>
      <w:r w:rsidR="00DC0B21" w:rsidRPr="00D01E89">
        <w:rPr>
          <w:rFonts w:ascii="Arial" w:hAnsi="Arial" w:cs="Arial"/>
          <w:sz w:val="24"/>
          <w:szCs w:val="24"/>
          <w:lang w:val="pt-BR"/>
        </w:rPr>
        <w:t xml:space="preserve">necessário </w:t>
      </w:r>
      <w:r w:rsidR="00FE3640" w:rsidRPr="00D01E89">
        <w:rPr>
          <w:rFonts w:ascii="Arial" w:hAnsi="Arial" w:cs="Arial"/>
          <w:sz w:val="24"/>
          <w:szCs w:val="24"/>
          <w:lang w:val="pt-BR"/>
        </w:rPr>
        <w:t xml:space="preserve">que os Estados </w:t>
      </w:r>
      <w:r w:rsidR="003209C3" w:rsidRPr="00D01E89">
        <w:rPr>
          <w:rFonts w:ascii="Arial" w:hAnsi="Arial" w:cs="Arial"/>
          <w:sz w:val="24"/>
          <w:szCs w:val="24"/>
          <w:lang w:val="pt-BR"/>
        </w:rPr>
        <w:t xml:space="preserve">Partes </w:t>
      </w:r>
      <w:r w:rsidR="00DC0B21" w:rsidRPr="00D01E89">
        <w:rPr>
          <w:rFonts w:ascii="Arial" w:hAnsi="Arial" w:cs="Arial"/>
          <w:sz w:val="24"/>
          <w:szCs w:val="24"/>
          <w:lang w:val="pt-BR"/>
        </w:rPr>
        <w:t xml:space="preserve">dessem </w:t>
      </w:r>
      <w:r w:rsidR="00AD7B32" w:rsidRPr="00D01E89">
        <w:rPr>
          <w:rFonts w:ascii="Arial" w:hAnsi="Arial" w:cs="Arial"/>
          <w:sz w:val="24"/>
          <w:szCs w:val="24"/>
          <w:lang w:val="pt-BR"/>
        </w:rPr>
        <w:t xml:space="preserve">prioridade às </w:t>
      </w:r>
      <w:r w:rsidR="003209C3" w:rsidRPr="00D01E89">
        <w:rPr>
          <w:rFonts w:ascii="Arial" w:hAnsi="Arial" w:cs="Arial"/>
          <w:sz w:val="24"/>
          <w:szCs w:val="24"/>
          <w:lang w:val="pt-BR"/>
        </w:rPr>
        <w:t>negociações do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3209C3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870D2D" w:rsidRPr="00D01E89">
        <w:rPr>
          <w:rFonts w:ascii="Arial" w:hAnsi="Arial" w:cs="Arial"/>
          <w:sz w:val="24"/>
          <w:szCs w:val="24"/>
          <w:lang w:val="pt-BR"/>
        </w:rPr>
        <w:t xml:space="preserve">. A </w:t>
      </w:r>
      <w:r w:rsidR="00816BEB" w:rsidRPr="00D01E89">
        <w:rPr>
          <w:rFonts w:ascii="Arial" w:hAnsi="Arial" w:cs="Arial"/>
          <w:sz w:val="24"/>
          <w:szCs w:val="24"/>
          <w:lang w:val="pt-BR"/>
        </w:rPr>
        <w:t xml:space="preserve">seleção dos sectores profissionais prioritários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deve </w:t>
      </w:r>
      <w:r w:rsidR="00816BEB" w:rsidRPr="00D01E89">
        <w:rPr>
          <w:rFonts w:ascii="Arial" w:hAnsi="Arial" w:cs="Arial"/>
          <w:sz w:val="24"/>
          <w:szCs w:val="24"/>
          <w:lang w:val="pt-BR"/>
        </w:rPr>
        <w:t xml:space="preserve">basear-se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em </w:t>
      </w:r>
      <w:r w:rsidR="00DC0B21" w:rsidRPr="00D01E89">
        <w:rPr>
          <w:rFonts w:ascii="Arial" w:hAnsi="Arial" w:cs="Arial"/>
          <w:sz w:val="24"/>
          <w:szCs w:val="24"/>
          <w:lang w:val="pt-BR"/>
        </w:rPr>
        <w:t xml:space="preserve">critérios </w:t>
      </w:r>
      <w:r w:rsidRPr="00D01E89">
        <w:rPr>
          <w:rFonts w:ascii="Arial" w:hAnsi="Arial" w:cs="Arial"/>
          <w:sz w:val="24"/>
          <w:szCs w:val="24"/>
          <w:lang w:val="pt-BR"/>
        </w:rPr>
        <w:t>acordados</w:t>
      </w:r>
      <w:r w:rsidR="00DC0B21" w:rsidRPr="00D01E89">
        <w:rPr>
          <w:rFonts w:ascii="Arial" w:hAnsi="Arial" w:cs="Arial"/>
          <w:sz w:val="24"/>
          <w:szCs w:val="24"/>
          <w:lang w:val="pt-BR"/>
        </w:rPr>
        <w:t xml:space="preserve">, com a contribuição de todos os principais interessados. </w:t>
      </w:r>
    </w:p>
    <w:p w14:paraId="41F417B8" w14:textId="77777777" w:rsidR="0019012A" w:rsidRPr="00D01E89" w:rsidRDefault="00895CA3">
      <w:pPr>
        <w:spacing w:before="240" w:after="0" w:line="312" w:lineRule="auto"/>
        <w:ind w:left="162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A este respeito, </w:t>
      </w:r>
      <w:r w:rsidR="00614E62"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614E62" w:rsidRPr="00D01E89">
        <w:rPr>
          <w:rFonts w:ascii="Arial" w:hAnsi="Arial" w:cs="Arial"/>
          <w:sz w:val="24"/>
          <w:szCs w:val="24"/>
          <w:lang w:val="pt-BR"/>
        </w:rPr>
        <w:t xml:space="preserve">Membros declararam que </w:t>
      </w:r>
      <w:r w:rsidR="004C6578">
        <w:rPr>
          <w:rFonts w:ascii="Arial" w:hAnsi="Arial" w:cs="Arial"/>
          <w:sz w:val="24"/>
          <w:szCs w:val="24"/>
          <w:lang w:val="pt-BR"/>
        </w:rPr>
        <w:t>o</w:t>
      </w:r>
      <w:r w:rsidR="00614E62" w:rsidRPr="00D01E89">
        <w:rPr>
          <w:rFonts w:ascii="Arial" w:hAnsi="Arial" w:cs="Arial"/>
          <w:sz w:val="24"/>
          <w:szCs w:val="24"/>
          <w:lang w:val="pt-BR"/>
        </w:rPr>
        <w:t xml:space="preserve"> TNF-Servi</w:t>
      </w:r>
      <w:r w:rsidR="00880694">
        <w:rPr>
          <w:rFonts w:ascii="Arial" w:hAnsi="Arial" w:cs="Arial"/>
          <w:sz w:val="24"/>
          <w:szCs w:val="24"/>
          <w:lang w:val="pt-BR"/>
        </w:rPr>
        <w:t>ço</w:t>
      </w:r>
      <w:r w:rsidR="00614E62" w:rsidRPr="00D01E89">
        <w:rPr>
          <w:rFonts w:ascii="Arial" w:hAnsi="Arial" w:cs="Arial"/>
          <w:sz w:val="24"/>
          <w:szCs w:val="24"/>
          <w:lang w:val="pt-BR"/>
        </w:rPr>
        <w:t xml:space="preserve">s </w:t>
      </w:r>
      <w:r w:rsidR="001C19F6" w:rsidRPr="00D01E89">
        <w:rPr>
          <w:rFonts w:ascii="Arial" w:hAnsi="Arial" w:cs="Arial"/>
          <w:sz w:val="24"/>
          <w:szCs w:val="24"/>
          <w:lang w:val="pt-BR"/>
        </w:rPr>
        <w:t xml:space="preserve">deveria </w:t>
      </w:r>
      <w:r w:rsidR="004F1737" w:rsidRPr="00D01E89">
        <w:rPr>
          <w:rFonts w:ascii="Arial" w:hAnsi="Arial" w:cs="Arial"/>
          <w:sz w:val="24"/>
          <w:szCs w:val="24"/>
          <w:lang w:val="pt-BR"/>
        </w:rPr>
        <w:t xml:space="preserve">decidir </w:t>
      </w:r>
      <w:r w:rsidR="004B4F46" w:rsidRPr="00D01E89">
        <w:rPr>
          <w:rFonts w:ascii="Arial" w:hAnsi="Arial" w:cs="Arial"/>
          <w:sz w:val="24"/>
          <w:szCs w:val="24"/>
          <w:lang w:val="pt-BR"/>
        </w:rPr>
        <w:t xml:space="preserve">quais os sectores de serviços profissionais prioritários </w:t>
      </w:r>
      <w:r w:rsidR="00BC43D8" w:rsidRPr="00D01E89">
        <w:rPr>
          <w:rFonts w:ascii="Arial" w:hAnsi="Arial" w:cs="Arial"/>
          <w:sz w:val="24"/>
          <w:szCs w:val="24"/>
          <w:lang w:val="pt-BR"/>
        </w:rPr>
        <w:t xml:space="preserve">e </w:t>
      </w:r>
      <w:r w:rsidR="001C19F6" w:rsidRPr="00D01E89">
        <w:rPr>
          <w:rFonts w:ascii="Arial" w:hAnsi="Arial" w:cs="Arial"/>
          <w:sz w:val="24"/>
          <w:szCs w:val="24"/>
          <w:lang w:val="pt-BR"/>
        </w:rPr>
        <w:t xml:space="preserve">sugeriram a </w:t>
      </w:r>
      <w:r w:rsidR="00737F54" w:rsidRPr="00D01E89">
        <w:rPr>
          <w:rFonts w:ascii="Arial" w:hAnsi="Arial" w:cs="Arial"/>
          <w:sz w:val="24"/>
          <w:szCs w:val="24"/>
          <w:lang w:val="pt-BR"/>
        </w:rPr>
        <w:t xml:space="preserve">reformulação </w:t>
      </w:r>
      <w:r w:rsidR="001C19F6" w:rsidRPr="00D01E89">
        <w:rPr>
          <w:rFonts w:ascii="Arial" w:hAnsi="Arial" w:cs="Arial"/>
          <w:sz w:val="24"/>
          <w:szCs w:val="24"/>
          <w:lang w:val="pt-BR"/>
        </w:rPr>
        <w:t xml:space="preserve">do </w:t>
      </w:r>
      <w:r w:rsidR="00737F54" w:rsidRPr="00D01E89">
        <w:rPr>
          <w:rFonts w:ascii="Arial" w:hAnsi="Arial" w:cs="Arial"/>
          <w:sz w:val="24"/>
          <w:szCs w:val="24"/>
          <w:lang w:val="pt-BR"/>
        </w:rPr>
        <w:t xml:space="preserve">parágrafo </w:t>
      </w:r>
      <w:r w:rsidR="00334EF8" w:rsidRPr="00D01E89">
        <w:rPr>
          <w:rFonts w:ascii="Arial" w:hAnsi="Arial" w:cs="Arial"/>
          <w:sz w:val="24"/>
          <w:szCs w:val="24"/>
          <w:lang w:val="pt-BR"/>
        </w:rPr>
        <w:t>para refle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334EF8" w:rsidRPr="00D01E89">
        <w:rPr>
          <w:rFonts w:ascii="Arial" w:hAnsi="Arial" w:cs="Arial"/>
          <w:sz w:val="24"/>
          <w:szCs w:val="24"/>
          <w:lang w:val="pt-BR"/>
        </w:rPr>
        <w:t xml:space="preserve">tir </w:t>
      </w:r>
      <w:r w:rsidR="00285F18" w:rsidRPr="00D01E89">
        <w:rPr>
          <w:rFonts w:ascii="Arial" w:hAnsi="Arial" w:cs="Arial"/>
          <w:sz w:val="24"/>
          <w:szCs w:val="24"/>
          <w:lang w:val="pt-BR"/>
        </w:rPr>
        <w:t xml:space="preserve">os critérios </w:t>
      </w:r>
      <w:r w:rsidR="001C19F6" w:rsidRPr="00D01E89">
        <w:rPr>
          <w:rFonts w:ascii="Arial" w:hAnsi="Arial" w:cs="Arial"/>
          <w:sz w:val="24"/>
          <w:szCs w:val="24"/>
          <w:lang w:val="pt-BR"/>
        </w:rPr>
        <w:t xml:space="preserve">a aplicar </w:t>
      </w:r>
      <w:r w:rsidR="00285F18" w:rsidRPr="00D01E89">
        <w:rPr>
          <w:rFonts w:ascii="Arial" w:hAnsi="Arial" w:cs="Arial"/>
          <w:sz w:val="24"/>
          <w:szCs w:val="24"/>
          <w:lang w:val="pt-BR"/>
        </w:rPr>
        <w:t xml:space="preserve">e a necessidade de esses critérios serem informados pelos </w:t>
      </w:r>
      <w:r w:rsidR="001C19F6" w:rsidRPr="00D01E89">
        <w:rPr>
          <w:rFonts w:ascii="Arial" w:hAnsi="Arial" w:cs="Arial"/>
          <w:sz w:val="24"/>
          <w:szCs w:val="24"/>
          <w:lang w:val="pt-BR"/>
        </w:rPr>
        <w:t xml:space="preserve">interesses </w:t>
      </w:r>
      <w:r w:rsidR="00285F18" w:rsidRPr="00D01E89">
        <w:rPr>
          <w:rFonts w:ascii="Arial" w:hAnsi="Arial" w:cs="Arial"/>
          <w:sz w:val="24"/>
          <w:szCs w:val="24"/>
          <w:lang w:val="pt-BR"/>
        </w:rPr>
        <w:t>de todas as partes interessadas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4C3ED073" w14:textId="77777777" w:rsidR="0019012A" w:rsidRPr="00D01E89" w:rsidRDefault="00895CA3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before="240" w:after="0" w:line="312" w:lineRule="auto"/>
        <w:ind w:left="1701" w:hanging="850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Conclusão </w:t>
      </w:r>
      <w:r w:rsidR="00495FAA" w:rsidRPr="00D01E89">
        <w:rPr>
          <w:rFonts w:ascii="Arial" w:hAnsi="Arial" w:cs="Arial"/>
          <w:sz w:val="24"/>
          <w:szCs w:val="24"/>
          <w:u w:val="single"/>
          <w:lang w:val="pt-BR"/>
        </w:rPr>
        <w:t>6</w:t>
      </w:r>
      <w:r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: </w:t>
      </w:r>
      <w:r w:rsidR="00AC78FF"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Domínios profissionais prioritários para </w:t>
      </w:r>
      <w:r w:rsidR="004C6578">
        <w:rPr>
          <w:rFonts w:ascii="Arial" w:hAnsi="Arial" w:cs="Arial"/>
          <w:sz w:val="24"/>
          <w:szCs w:val="24"/>
          <w:u w:val="single"/>
          <w:lang w:val="pt-BR"/>
        </w:rPr>
        <w:t>o</w:t>
      </w:r>
      <w:r w:rsidR="00AC78FF"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 w:rsidR="00880694">
        <w:rPr>
          <w:rFonts w:ascii="Arial" w:hAnsi="Arial" w:cs="Arial"/>
          <w:sz w:val="24"/>
          <w:szCs w:val="24"/>
          <w:u w:val="single"/>
          <w:lang w:val="pt-BR"/>
        </w:rPr>
        <w:t>MRA</w:t>
      </w:r>
      <w:r w:rsidR="00AC78FF"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 [Secção 4]</w:t>
      </w:r>
    </w:p>
    <w:p w14:paraId="20CFA71E" w14:textId="77777777" w:rsidR="0019012A" w:rsidRPr="00D01E89" w:rsidRDefault="00895CA3">
      <w:pPr>
        <w:pStyle w:val="ListParagraph"/>
        <w:numPr>
          <w:ilvl w:val="0"/>
          <w:numId w:val="19"/>
        </w:numPr>
        <w:shd w:val="clear" w:color="auto" w:fill="D9D9D9" w:themeFill="background1" w:themeFillShade="D9"/>
        <w:spacing w:before="240" w:after="0" w:line="312" w:lineRule="auto"/>
        <w:ind w:left="2520" w:hanging="63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>Acrescentar a expressão "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>tendo em conta</w:t>
      </w:r>
      <w:r w:rsidRPr="00D01E89">
        <w:rPr>
          <w:rFonts w:ascii="Arial" w:hAnsi="Arial" w:cs="Arial"/>
          <w:sz w:val="24"/>
          <w:szCs w:val="24"/>
          <w:lang w:val="pt-BR"/>
        </w:rPr>
        <w:t>" no final do parágrafo 4</w:t>
      </w:r>
      <w:r w:rsidR="001C19F6" w:rsidRPr="00D01E89">
        <w:rPr>
          <w:rFonts w:ascii="Arial" w:hAnsi="Arial" w:cs="Arial"/>
          <w:sz w:val="24"/>
          <w:szCs w:val="24"/>
          <w:lang w:val="pt-BR"/>
        </w:rPr>
        <w:t>;</w:t>
      </w:r>
    </w:p>
    <w:p w14:paraId="594AED7C" w14:textId="77777777" w:rsidR="0019012A" w:rsidRPr="00D01E89" w:rsidRDefault="00895CA3">
      <w:pPr>
        <w:pStyle w:val="ListParagraph"/>
        <w:numPr>
          <w:ilvl w:val="0"/>
          <w:numId w:val="19"/>
        </w:numPr>
        <w:shd w:val="clear" w:color="auto" w:fill="D9D9D9" w:themeFill="background1" w:themeFillShade="D9"/>
        <w:spacing w:before="240" w:after="0" w:line="312" w:lineRule="auto"/>
        <w:ind w:left="2520" w:hanging="63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reformular todo o </w:t>
      </w:r>
      <w:r w:rsidR="00513E02" w:rsidRPr="00D01E89">
        <w:rPr>
          <w:rFonts w:ascii="Arial" w:hAnsi="Arial" w:cs="Arial"/>
          <w:sz w:val="24"/>
          <w:szCs w:val="24"/>
          <w:lang w:val="pt-BR"/>
        </w:rPr>
        <w:t xml:space="preserve">parágrafo </w:t>
      </w:r>
      <w:r w:rsidRPr="00D01E89">
        <w:rPr>
          <w:rFonts w:ascii="Arial" w:hAnsi="Arial" w:cs="Arial"/>
          <w:sz w:val="24"/>
          <w:szCs w:val="24"/>
          <w:lang w:val="pt-BR"/>
        </w:rPr>
        <w:t>4</w:t>
      </w:r>
      <w:r w:rsidR="00552ED9" w:rsidRPr="00D01E89">
        <w:rPr>
          <w:rFonts w:ascii="Arial" w:hAnsi="Arial" w:cs="Arial"/>
          <w:sz w:val="24"/>
          <w:szCs w:val="24"/>
          <w:lang w:val="pt-BR"/>
        </w:rPr>
        <w:t>.1</w:t>
      </w:r>
      <w:r w:rsidRPr="00D01E89">
        <w:rPr>
          <w:rFonts w:ascii="Arial" w:hAnsi="Arial" w:cs="Arial"/>
          <w:sz w:val="24"/>
          <w:szCs w:val="24"/>
          <w:lang w:val="pt-BR"/>
        </w:rPr>
        <w:t>(a) para que passe a ter a seguinte redação "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>compromissos de liberalização assumidos pelos Estados Partes ao abrigo da Parte IV do Protocolo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"; </w:t>
      </w:r>
      <w:r w:rsidR="00E44049" w:rsidRPr="00D01E89">
        <w:rPr>
          <w:rFonts w:ascii="Arial" w:hAnsi="Arial" w:cs="Arial"/>
          <w:sz w:val="24"/>
          <w:szCs w:val="24"/>
          <w:lang w:val="pt-BR"/>
        </w:rPr>
        <w:t xml:space="preserve">e </w:t>
      </w:r>
    </w:p>
    <w:p w14:paraId="2A8581BE" w14:textId="77777777" w:rsidR="0019012A" w:rsidRPr="00D01E89" w:rsidRDefault="00895CA3">
      <w:pPr>
        <w:pStyle w:val="ListParagraph"/>
        <w:numPr>
          <w:ilvl w:val="0"/>
          <w:numId w:val="19"/>
        </w:numPr>
        <w:shd w:val="clear" w:color="auto" w:fill="D9D9D9" w:themeFill="background1" w:themeFillShade="D9"/>
        <w:spacing w:before="240" w:after="0" w:line="312" w:lineRule="auto"/>
        <w:ind w:left="2520" w:hanging="63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>reformular a alínea b) do n.º 4.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1 </w:t>
      </w:r>
      <w:r w:rsidRPr="00D01E89">
        <w:rPr>
          <w:rFonts w:ascii="Arial" w:hAnsi="Arial" w:cs="Arial"/>
          <w:sz w:val="24"/>
          <w:szCs w:val="24"/>
          <w:lang w:val="pt-BR"/>
        </w:rPr>
        <w:t>para que passe a ter a seguinte redação "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>contributos recebidos das partes interessadas profissionais nacionais e regionais, incluindo o Conselho Empresarial da SADC"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5ECF2BBD" w14:textId="77777777" w:rsidR="0019012A" w:rsidRDefault="00895CA3">
      <w:pPr>
        <w:pStyle w:val="ListParagraph"/>
        <w:numPr>
          <w:ilvl w:val="2"/>
          <w:numId w:val="1"/>
        </w:numPr>
        <w:spacing w:before="240" w:after="0" w:line="312" w:lineRule="auto"/>
        <w:ind w:hanging="1224"/>
        <w:jc w:val="both"/>
        <w:rPr>
          <w:rFonts w:ascii="Arial Bold" w:hAnsi="Arial Bold" w:cs="Arial"/>
          <w:b/>
          <w:bCs/>
          <w:caps/>
          <w:sz w:val="24"/>
          <w:szCs w:val="24"/>
        </w:rPr>
      </w:pPr>
      <w:r w:rsidRPr="00F101A0">
        <w:rPr>
          <w:rFonts w:ascii="Arial Bold" w:hAnsi="Arial Bold" w:cs="Arial"/>
          <w:b/>
          <w:bCs/>
          <w:caps/>
          <w:sz w:val="24"/>
          <w:szCs w:val="24"/>
        </w:rPr>
        <w:t xml:space="preserve">Ponto de partida </w:t>
      </w:r>
      <w:r w:rsidR="009A6B25" w:rsidRPr="00F101A0">
        <w:rPr>
          <w:rFonts w:ascii="Arial Bold" w:hAnsi="Arial Bold" w:cs="Arial"/>
          <w:b/>
          <w:bCs/>
          <w:caps/>
          <w:sz w:val="24"/>
          <w:szCs w:val="24"/>
        </w:rPr>
        <w:t>[Secção 5]</w:t>
      </w:r>
    </w:p>
    <w:p w14:paraId="4CCDEA12" w14:textId="77777777" w:rsidR="0019012A" w:rsidRPr="00D01E89" w:rsidRDefault="00895CA3">
      <w:pPr>
        <w:pStyle w:val="ListParagraph"/>
        <w:numPr>
          <w:ilvl w:val="0"/>
          <w:numId w:val="20"/>
        </w:numPr>
        <w:spacing w:before="240" w:after="0" w:line="312" w:lineRule="auto"/>
        <w:ind w:left="1620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Ponto 5.1 </w:t>
      </w:r>
      <w:r w:rsidR="001C19F6" w:rsidRPr="00D01E89">
        <w:rPr>
          <w:rFonts w:ascii="Arial" w:hAnsi="Arial" w:cs="Arial"/>
          <w:sz w:val="24"/>
          <w:szCs w:val="24"/>
          <w:lang w:val="pt-BR"/>
        </w:rPr>
        <w:t xml:space="preserve">- </w:t>
      </w:r>
      <w:r w:rsidR="007634B8"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7634B8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EB411F" w:rsidRPr="00D01E89">
        <w:rPr>
          <w:rFonts w:ascii="Arial" w:hAnsi="Arial" w:cs="Arial"/>
          <w:sz w:val="24"/>
          <w:szCs w:val="24"/>
          <w:lang w:val="pt-BR"/>
        </w:rPr>
        <w:t xml:space="preserve">corrigiram </w:t>
      </w:r>
      <w:r w:rsidR="0031177D" w:rsidRPr="00D01E89">
        <w:rPr>
          <w:rFonts w:ascii="Arial" w:hAnsi="Arial" w:cs="Arial"/>
          <w:sz w:val="24"/>
          <w:szCs w:val="24"/>
          <w:lang w:val="pt-BR"/>
        </w:rPr>
        <w:t xml:space="preserve">um pequeno </w:t>
      </w:r>
      <w:r w:rsidR="00EB411F" w:rsidRPr="00D01E89">
        <w:rPr>
          <w:rFonts w:ascii="Arial" w:hAnsi="Arial" w:cs="Arial"/>
          <w:sz w:val="24"/>
          <w:szCs w:val="24"/>
          <w:lang w:val="pt-BR"/>
        </w:rPr>
        <w:t xml:space="preserve">erro </w:t>
      </w:r>
      <w:r w:rsidR="001C19F6" w:rsidRPr="00D01E89">
        <w:rPr>
          <w:rFonts w:ascii="Arial" w:hAnsi="Arial" w:cs="Arial"/>
          <w:sz w:val="24"/>
          <w:szCs w:val="24"/>
          <w:lang w:val="pt-BR"/>
        </w:rPr>
        <w:t>tipográfico</w:t>
      </w:r>
      <w:r w:rsidR="00DA256F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12998A69" w14:textId="77777777" w:rsidR="0019012A" w:rsidRPr="00D01E89" w:rsidRDefault="00895CA3">
      <w:pPr>
        <w:pStyle w:val="ListParagraph"/>
        <w:numPr>
          <w:ilvl w:val="0"/>
          <w:numId w:val="20"/>
        </w:numPr>
        <w:spacing w:before="240" w:after="0" w:line="312" w:lineRule="auto"/>
        <w:ind w:left="1620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Ponto 5.2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- </w:t>
      </w:r>
      <w:r w:rsidR="00C37209" w:rsidRPr="00D01E89">
        <w:rPr>
          <w:rFonts w:ascii="Arial" w:hAnsi="Arial" w:cs="Arial"/>
          <w:sz w:val="24"/>
          <w:szCs w:val="24"/>
          <w:lang w:val="pt-BR"/>
        </w:rPr>
        <w:t xml:space="preserve">A reunião foi informada de que </w:t>
      </w:r>
      <w:r w:rsidR="00FF7970" w:rsidRPr="00D01E89">
        <w:rPr>
          <w:rFonts w:ascii="Arial" w:hAnsi="Arial" w:cs="Arial"/>
          <w:sz w:val="24"/>
          <w:szCs w:val="24"/>
          <w:lang w:val="pt-BR"/>
        </w:rPr>
        <w:t xml:space="preserve">o Secretariado tinha </w:t>
      </w:r>
      <w:r w:rsidR="0031177D" w:rsidRPr="00D01E89">
        <w:rPr>
          <w:rFonts w:ascii="Arial" w:hAnsi="Arial" w:cs="Arial"/>
          <w:sz w:val="24"/>
          <w:szCs w:val="24"/>
          <w:lang w:val="pt-BR"/>
        </w:rPr>
        <w:t xml:space="preserve">reformulado </w:t>
      </w:r>
      <w:r w:rsidR="00FF7970" w:rsidRPr="00D01E89">
        <w:rPr>
          <w:rFonts w:ascii="Arial" w:hAnsi="Arial" w:cs="Arial"/>
          <w:sz w:val="24"/>
          <w:szCs w:val="24"/>
          <w:lang w:val="pt-BR"/>
        </w:rPr>
        <w:t xml:space="preserve">este ponto 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tendo em conta as observações </w:t>
      </w:r>
      <w:r w:rsidR="00FF7970" w:rsidRPr="00D01E89">
        <w:rPr>
          <w:rFonts w:ascii="Arial" w:hAnsi="Arial" w:cs="Arial"/>
          <w:sz w:val="24"/>
          <w:szCs w:val="24"/>
          <w:lang w:val="pt-BR"/>
        </w:rPr>
        <w:t xml:space="preserve">dos Estados-Membros </w:t>
      </w:r>
      <w:r w:rsidR="003A642C" w:rsidRPr="00D01E89">
        <w:rPr>
          <w:rFonts w:ascii="Arial" w:hAnsi="Arial" w:cs="Arial"/>
          <w:sz w:val="24"/>
          <w:szCs w:val="24"/>
          <w:lang w:val="pt-BR"/>
        </w:rPr>
        <w:t xml:space="preserve">na 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primeira </w:t>
      </w:r>
      <w:r w:rsidR="003A642C" w:rsidRPr="00D01E89">
        <w:rPr>
          <w:rFonts w:ascii="Arial" w:hAnsi="Arial" w:cs="Arial"/>
          <w:sz w:val="24"/>
          <w:szCs w:val="24"/>
          <w:lang w:val="pt-BR"/>
        </w:rPr>
        <w:t xml:space="preserve">sessão específica </w:t>
      </w:r>
      <w:r w:rsidR="00A27FD7" w:rsidRPr="00D01E89">
        <w:rPr>
          <w:rFonts w:ascii="Arial" w:hAnsi="Arial" w:cs="Arial"/>
          <w:sz w:val="24"/>
          <w:szCs w:val="24"/>
          <w:lang w:val="pt-BR"/>
        </w:rPr>
        <w:t xml:space="preserve">relativas aos progressos efectuados na </w:t>
      </w:r>
      <w:r w:rsidR="00880694">
        <w:rPr>
          <w:rFonts w:ascii="Arial" w:hAnsi="Arial" w:cs="Arial"/>
          <w:sz w:val="24"/>
          <w:szCs w:val="24"/>
          <w:lang w:val="pt-BR"/>
        </w:rPr>
        <w:t>WTO</w:t>
      </w:r>
      <w:r w:rsidR="00A27FD7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31177D" w:rsidRPr="00D01E89">
        <w:rPr>
          <w:rFonts w:ascii="Arial" w:hAnsi="Arial" w:cs="Arial"/>
          <w:sz w:val="24"/>
          <w:szCs w:val="24"/>
          <w:lang w:val="pt-BR"/>
        </w:rPr>
        <w:t xml:space="preserve">no desenvolvimento da </w:t>
      </w:r>
      <w:r w:rsidR="00C37209" w:rsidRPr="00D01E89">
        <w:rPr>
          <w:rFonts w:ascii="Arial" w:hAnsi="Arial" w:cs="Arial"/>
          <w:sz w:val="24"/>
          <w:szCs w:val="24"/>
          <w:lang w:val="pt-BR"/>
        </w:rPr>
        <w:t>Iniciativa Conjunta sobre a Regulamentação Interna dos Serviços</w:t>
      </w:r>
      <w:r w:rsidR="00413741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8B31E2" w:rsidRPr="00D01E89">
        <w:rPr>
          <w:rFonts w:ascii="Arial" w:hAnsi="Arial" w:cs="Arial"/>
          <w:sz w:val="24"/>
          <w:szCs w:val="24"/>
          <w:lang w:val="pt-BR"/>
        </w:rPr>
        <w:t xml:space="preserve">apoiaram o </w:t>
      </w:r>
      <w:r w:rsidR="00476A0F" w:rsidRPr="00D01E89">
        <w:rPr>
          <w:rFonts w:ascii="Arial" w:hAnsi="Arial" w:cs="Arial"/>
          <w:sz w:val="24"/>
          <w:szCs w:val="24"/>
          <w:lang w:val="pt-BR"/>
        </w:rPr>
        <w:t xml:space="preserve">texto proposto </w:t>
      </w:r>
      <w:r w:rsidR="00EA25B2" w:rsidRPr="00D01E89">
        <w:rPr>
          <w:rFonts w:ascii="Arial" w:hAnsi="Arial" w:cs="Arial"/>
          <w:sz w:val="24"/>
          <w:szCs w:val="24"/>
          <w:lang w:val="pt-BR"/>
        </w:rPr>
        <w:t xml:space="preserve">pelo Secretariado e introduziram algumas </w:t>
      </w:r>
      <w:r w:rsidR="0031177D" w:rsidRPr="00D01E89">
        <w:rPr>
          <w:rFonts w:ascii="Arial" w:hAnsi="Arial" w:cs="Arial"/>
          <w:sz w:val="24"/>
          <w:szCs w:val="24"/>
          <w:lang w:val="pt-BR"/>
        </w:rPr>
        <w:t xml:space="preserve">melhorias </w:t>
      </w:r>
      <w:r w:rsidR="003D2845" w:rsidRPr="00D01E89">
        <w:rPr>
          <w:rFonts w:ascii="Arial" w:hAnsi="Arial" w:cs="Arial"/>
          <w:sz w:val="24"/>
          <w:szCs w:val="24"/>
          <w:lang w:val="pt-BR"/>
        </w:rPr>
        <w:t>para refle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3D2845" w:rsidRPr="00D01E89">
        <w:rPr>
          <w:rFonts w:ascii="Arial" w:hAnsi="Arial" w:cs="Arial"/>
          <w:sz w:val="24"/>
          <w:szCs w:val="24"/>
          <w:lang w:val="pt-BR"/>
        </w:rPr>
        <w:t xml:space="preserve">tir a necessidade de </w:t>
      </w:r>
      <w:r w:rsidR="00B271AE" w:rsidRPr="00D01E89">
        <w:rPr>
          <w:rFonts w:ascii="Arial" w:hAnsi="Arial" w:cs="Arial"/>
          <w:sz w:val="24"/>
          <w:szCs w:val="24"/>
          <w:lang w:val="pt-BR"/>
        </w:rPr>
        <w:t xml:space="preserve">os </w:t>
      </w:r>
      <w:r w:rsidR="00880694">
        <w:rPr>
          <w:rFonts w:ascii="Arial" w:hAnsi="Arial" w:cs="Arial"/>
          <w:sz w:val="24"/>
          <w:szCs w:val="24"/>
          <w:lang w:val="pt-BR"/>
        </w:rPr>
        <w:t>MRA</w:t>
      </w:r>
      <w:r w:rsidR="00B271AE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31177D" w:rsidRPr="00D01E89">
        <w:rPr>
          <w:rFonts w:ascii="Arial" w:hAnsi="Arial" w:cs="Arial"/>
          <w:sz w:val="24"/>
          <w:szCs w:val="24"/>
          <w:lang w:val="pt-BR"/>
        </w:rPr>
        <w:t xml:space="preserve">serem apoiados por competências técnicas </w:t>
      </w:r>
      <w:r w:rsidR="00ED3574" w:rsidRPr="00D01E89">
        <w:rPr>
          <w:rFonts w:ascii="Arial" w:hAnsi="Arial" w:cs="Arial"/>
          <w:sz w:val="24"/>
          <w:szCs w:val="24"/>
          <w:lang w:val="pt-BR"/>
        </w:rPr>
        <w:t xml:space="preserve">relacionadas com </w:t>
      </w:r>
      <w:r w:rsidR="005D16F1" w:rsidRPr="00D01E89">
        <w:rPr>
          <w:rFonts w:ascii="Arial" w:hAnsi="Arial" w:cs="Arial"/>
          <w:sz w:val="24"/>
          <w:szCs w:val="24"/>
          <w:lang w:val="pt-BR"/>
        </w:rPr>
        <w:t>normas técnicas</w:t>
      </w:r>
      <w:r w:rsidR="0031177D" w:rsidRPr="00D01E89">
        <w:rPr>
          <w:rFonts w:ascii="Arial" w:hAnsi="Arial" w:cs="Arial"/>
          <w:sz w:val="24"/>
          <w:szCs w:val="24"/>
          <w:lang w:val="pt-BR"/>
        </w:rPr>
        <w:t xml:space="preserve">, requisitos </w:t>
      </w:r>
      <w:r w:rsidR="00A619E7" w:rsidRPr="00D01E89">
        <w:rPr>
          <w:rFonts w:ascii="Arial" w:hAnsi="Arial" w:cs="Arial"/>
          <w:sz w:val="24"/>
          <w:szCs w:val="24"/>
          <w:lang w:val="pt-BR"/>
        </w:rPr>
        <w:t xml:space="preserve">e procedimentos de licenciamento </w:t>
      </w:r>
      <w:r w:rsidR="00837455" w:rsidRPr="00D01E89">
        <w:rPr>
          <w:rFonts w:ascii="Arial" w:hAnsi="Arial" w:cs="Arial"/>
          <w:sz w:val="24"/>
          <w:szCs w:val="24"/>
          <w:lang w:val="pt-BR"/>
        </w:rPr>
        <w:t xml:space="preserve">e </w:t>
      </w:r>
      <w:r w:rsidR="00413741" w:rsidRPr="00D01E89">
        <w:rPr>
          <w:rFonts w:ascii="Arial" w:hAnsi="Arial" w:cs="Arial"/>
          <w:sz w:val="24"/>
          <w:szCs w:val="24"/>
          <w:lang w:val="pt-BR"/>
        </w:rPr>
        <w:t>requisitos de qualificação</w:t>
      </w:r>
      <w:r w:rsidR="0031177D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413741" w:rsidRPr="00D01E89">
        <w:rPr>
          <w:rFonts w:ascii="Arial" w:hAnsi="Arial" w:cs="Arial"/>
          <w:sz w:val="24"/>
          <w:szCs w:val="24"/>
          <w:lang w:val="pt-BR"/>
        </w:rPr>
        <w:t xml:space="preserve">em conformidade com o artigo 6. </w:t>
      </w:r>
    </w:p>
    <w:p w14:paraId="275F97C4" w14:textId="77777777" w:rsidR="0019012A" w:rsidRPr="00D01E89" w:rsidRDefault="00895CA3">
      <w:pPr>
        <w:pStyle w:val="ListParagraph"/>
        <w:numPr>
          <w:ilvl w:val="0"/>
          <w:numId w:val="20"/>
        </w:numPr>
        <w:spacing w:before="240" w:after="0" w:line="312" w:lineRule="auto"/>
        <w:ind w:left="1620" w:hanging="851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Conclusão 7: </w:t>
      </w:r>
      <w:r w:rsidR="00CF3973" w:rsidRPr="00D01E89">
        <w:rPr>
          <w:rFonts w:ascii="Arial" w:hAnsi="Arial" w:cs="Arial"/>
          <w:sz w:val="24"/>
          <w:szCs w:val="24"/>
          <w:u w:val="single"/>
          <w:lang w:val="pt-BR"/>
        </w:rPr>
        <w:t>Ponto de partida [Secção 5]</w:t>
      </w:r>
    </w:p>
    <w:p w14:paraId="194E07D5" w14:textId="5C088584" w:rsidR="0019012A" w:rsidRPr="00D01E89" w:rsidRDefault="00895CA3">
      <w:pPr>
        <w:pStyle w:val="ListParagraph"/>
        <w:numPr>
          <w:ilvl w:val="0"/>
          <w:numId w:val="21"/>
        </w:numPr>
        <w:shd w:val="clear" w:color="auto" w:fill="D9D9D9" w:themeFill="background1" w:themeFillShade="D9"/>
        <w:spacing w:before="240" w:after="0" w:line="312" w:lineRule="auto"/>
        <w:ind w:left="216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lastRenderedPageBreak/>
        <w:t xml:space="preserve">Reformular o parágrafo 5.2 para que passe a ter a seguinte 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redação </w:t>
      </w:r>
      <w:r w:rsidR="007005EA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Na medida em que os </w:t>
      </w:r>
      <w:r w:rsidR="00880694">
        <w:rPr>
          <w:rFonts w:ascii="Arial" w:hAnsi="Arial" w:cs="Arial"/>
          <w:i/>
          <w:iCs/>
          <w:sz w:val="24"/>
          <w:szCs w:val="24"/>
          <w:lang w:val="pt-BR"/>
        </w:rPr>
        <w:t>MRA</w:t>
      </w:r>
      <w:r w:rsidR="007005EA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elaborados ao abrigo das presentes </w:t>
      </w:r>
      <w:r w:rsidR="008176CE">
        <w:rPr>
          <w:rFonts w:ascii="Arial" w:hAnsi="Arial" w:cs="Arial"/>
          <w:i/>
          <w:iCs/>
          <w:sz w:val="24"/>
          <w:szCs w:val="24"/>
          <w:lang w:val="pt-BR"/>
        </w:rPr>
        <w:t>Directivas</w:t>
      </w:r>
      <w:r w:rsidR="007005EA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tratem de questões relacionadas com requisitos e procedimentos de qualificação, normas técnicas e requisitos e procedimentos de licenciamento, abrangidos pelo âmbito de aplicação do 6</w:t>
      </w:r>
      <w:r w:rsidR="004C6578">
        <w:rPr>
          <w:rFonts w:ascii="Arial" w:hAnsi="Arial" w:cs="Arial"/>
          <w:i/>
          <w:iCs/>
          <w:sz w:val="24"/>
          <w:szCs w:val="24"/>
          <w:lang w:val="pt-BR"/>
        </w:rPr>
        <w:t>.</w:t>
      </w:r>
      <w:r w:rsidR="007005EA" w:rsidRPr="00D01E89">
        <w:rPr>
          <w:rFonts w:ascii="Arial" w:hAnsi="Arial" w:cs="Arial"/>
          <w:i/>
          <w:iCs/>
          <w:sz w:val="24"/>
          <w:szCs w:val="24"/>
          <w:lang w:val="pt-BR"/>
        </w:rPr>
        <w:t>º</w:t>
      </w:r>
      <w:r w:rsidR="004C6578">
        <w:rPr>
          <w:rFonts w:ascii="Arial" w:hAnsi="Arial" w:cs="Arial"/>
          <w:i/>
          <w:iCs/>
          <w:sz w:val="24"/>
          <w:szCs w:val="24"/>
          <w:lang w:val="pt-BR"/>
        </w:rPr>
        <w:t xml:space="preserve"> artigo</w:t>
      </w:r>
      <w:r w:rsidR="007005EA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[regulamentação interna] do Protocolo, os Estados Partes devem assegurar que essas disposições dos </w:t>
      </w:r>
      <w:r w:rsidR="00880694">
        <w:rPr>
          <w:rFonts w:ascii="Arial" w:hAnsi="Arial" w:cs="Arial"/>
          <w:i/>
          <w:iCs/>
          <w:sz w:val="24"/>
          <w:szCs w:val="24"/>
          <w:lang w:val="pt-BR"/>
        </w:rPr>
        <w:t>MRA</w:t>
      </w:r>
      <w:r w:rsidR="007005EA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relativos a serviços profissionais sejam coerentes com os compromissos assumidos pelo [a] </w:t>
      </w:r>
      <w:r w:rsidR="0026504D" w:rsidRPr="00D01E89">
        <w:rPr>
          <w:rFonts w:ascii="Arial" w:hAnsi="Arial" w:cs="Arial"/>
          <w:i/>
          <w:iCs/>
          <w:sz w:val="24"/>
          <w:szCs w:val="24"/>
          <w:lang w:val="pt-BR"/>
        </w:rPr>
        <w:t>[</w:t>
      </w:r>
      <w:r w:rsidR="007005EA" w:rsidRPr="00D01E89">
        <w:rPr>
          <w:rFonts w:ascii="Arial" w:hAnsi="Arial" w:cs="Arial"/>
          <w:i/>
          <w:iCs/>
          <w:sz w:val="24"/>
          <w:szCs w:val="24"/>
          <w:lang w:val="pt-BR"/>
        </w:rPr>
        <w:t>cada</w:t>
      </w:r>
      <w:r w:rsidR="0026504D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] </w:t>
      </w:r>
      <w:r w:rsidR="007005EA" w:rsidRPr="00D01E89">
        <w:rPr>
          <w:rFonts w:ascii="Arial" w:hAnsi="Arial" w:cs="Arial"/>
          <w:i/>
          <w:iCs/>
          <w:sz w:val="24"/>
          <w:szCs w:val="24"/>
          <w:lang w:val="pt-BR"/>
        </w:rPr>
        <w:t>Estado Parte no âmbito da Organização Mundial do Comércio (</w:t>
      </w:r>
      <w:r w:rsidR="00880694">
        <w:rPr>
          <w:rFonts w:ascii="Arial" w:hAnsi="Arial" w:cs="Arial"/>
          <w:i/>
          <w:iCs/>
          <w:sz w:val="24"/>
          <w:szCs w:val="24"/>
          <w:lang w:val="pt-BR"/>
        </w:rPr>
        <w:t>WTO</w:t>
      </w:r>
      <w:r w:rsidR="007005EA" w:rsidRPr="00D01E89">
        <w:rPr>
          <w:rFonts w:ascii="Arial" w:hAnsi="Arial" w:cs="Arial"/>
          <w:i/>
          <w:iCs/>
          <w:sz w:val="24"/>
          <w:szCs w:val="24"/>
          <w:lang w:val="pt-BR"/>
        </w:rPr>
        <w:t>), incluindo a Iniciativa Conjunta sobre a Regulamentação Interna dos Serviços, quando aplicável"</w:t>
      </w:r>
      <w:r w:rsidR="0026504D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, e </w:t>
      </w:r>
    </w:p>
    <w:p w14:paraId="618F30BF" w14:textId="77777777" w:rsidR="0019012A" w:rsidRPr="00D01E89" w:rsidRDefault="00895CA3">
      <w:pPr>
        <w:pStyle w:val="ListParagraph"/>
        <w:numPr>
          <w:ilvl w:val="0"/>
          <w:numId w:val="21"/>
        </w:numPr>
        <w:shd w:val="clear" w:color="auto" w:fill="D9D9D9" w:themeFill="background1" w:themeFillShade="D9"/>
        <w:spacing w:before="120" w:after="0" w:line="312" w:lineRule="auto"/>
        <w:ind w:left="216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O </w:t>
      </w:r>
      <w:r w:rsidR="00037D51" w:rsidRPr="00D01E89">
        <w:rPr>
          <w:rFonts w:ascii="Arial" w:hAnsi="Arial" w:cs="Arial"/>
          <w:sz w:val="24"/>
          <w:szCs w:val="24"/>
          <w:lang w:val="pt-BR"/>
        </w:rPr>
        <w:t>Secretariado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, após parecer jurídico, aconselhará </w:t>
      </w:r>
      <w:r w:rsidR="00240C4B" w:rsidRPr="00D01E89">
        <w:rPr>
          <w:rFonts w:ascii="Arial" w:hAnsi="Arial" w:cs="Arial"/>
          <w:sz w:val="24"/>
          <w:szCs w:val="24"/>
          <w:lang w:val="pt-BR"/>
        </w:rPr>
        <w:t xml:space="preserve">sobre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uma </w:t>
      </w:r>
      <w:r w:rsidR="00037D51" w:rsidRPr="00D01E89">
        <w:rPr>
          <w:rFonts w:ascii="Arial" w:hAnsi="Arial" w:cs="Arial"/>
          <w:sz w:val="24"/>
          <w:szCs w:val="24"/>
          <w:lang w:val="pt-BR"/>
        </w:rPr>
        <w:t xml:space="preserve">palavra </w:t>
      </w:r>
      <w:r w:rsidR="00240C4B" w:rsidRPr="00D01E89">
        <w:rPr>
          <w:rFonts w:ascii="Arial" w:hAnsi="Arial" w:cs="Arial"/>
          <w:sz w:val="24"/>
          <w:szCs w:val="24"/>
          <w:lang w:val="pt-BR"/>
        </w:rPr>
        <w:t>adequada</w:t>
      </w:r>
      <w:r w:rsidR="00EA256B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240C4B" w:rsidRPr="00D01E89">
        <w:rPr>
          <w:rFonts w:ascii="Arial" w:hAnsi="Arial" w:cs="Arial"/>
          <w:i/>
          <w:iCs/>
          <w:sz w:val="24"/>
          <w:szCs w:val="24"/>
          <w:lang w:val="pt-BR"/>
        </w:rPr>
        <w:t>"</w:t>
      </w:r>
      <w:r w:rsidR="00240C4B" w:rsidRPr="00D01E89">
        <w:rPr>
          <w:rFonts w:ascii="Arial" w:hAnsi="Arial" w:cs="Arial"/>
          <w:i/>
          <w:iCs/>
          <w:sz w:val="24"/>
          <w:szCs w:val="24"/>
          <w:u w:val="single"/>
          <w:lang w:val="pt-BR"/>
        </w:rPr>
        <w:t xml:space="preserve">a" </w:t>
      </w:r>
      <w:r w:rsidR="00240C4B" w:rsidRPr="00D01E89">
        <w:rPr>
          <w:rFonts w:ascii="Arial" w:hAnsi="Arial" w:cs="Arial"/>
          <w:sz w:val="24"/>
          <w:szCs w:val="24"/>
          <w:lang w:val="pt-BR"/>
        </w:rPr>
        <w:t xml:space="preserve">ou </w:t>
      </w:r>
      <w:r w:rsidR="00240C4B" w:rsidRPr="00D01E89">
        <w:rPr>
          <w:rFonts w:ascii="Arial" w:hAnsi="Arial" w:cs="Arial"/>
          <w:i/>
          <w:iCs/>
          <w:sz w:val="24"/>
          <w:szCs w:val="24"/>
          <w:lang w:val="pt-BR"/>
        </w:rPr>
        <w:t>"</w:t>
      </w:r>
      <w:r w:rsidR="00240C4B" w:rsidRPr="00D01E89">
        <w:rPr>
          <w:rFonts w:ascii="Arial" w:hAnsi="Arial" w:cs="Arial"/>
          <w:i/>
          <w:iCs/>
          <w:sz w:val="24"/>
          <w:szCs w:val="24"/>
          <w:u w:val="single"/>
          <w:lang w:val="pt-BR"/>
        </w:rPr>
        <w:t>cada"</w:t>
      </w:r>
      <w:r w:rsidR="00EA256B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037D51" w:rsidRPr="00D01E89">
        <w:rPr>
          <w:rFonts w:ascii="Arial" w:hAnsi="Arial" w:cs="Arial"/>
          <w:sz w:val="24"/>
          <w:szCs w:val="24"/>
          <w:lang w:val="pt-BR"/>
        </w:rPr>
        <w:t xml:space="preserve">a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utilizar </w:t>
      </w:r>
      <w:r w:rsidR="00037D51" w:rsidRPr="00D01E89">
        <w:rPr>
          <w:rFonts w:ascii="Arial" w:hAnsi="Arial" w:cs="Arial"/>
          <w:sz w:val="24"/>
          <w:szCs w:val="24"/>
          <w:lang w:val="pt-BR"/>
        </w:rPr>
        <w:t xml:space="preserve">no </w:t>
      </w:r>
      <w:r w:rsidR="00694317" w:rsidRPr="00D01E89">
        <w:rPr>
          <w:rFonts w:ascii="Arial" w:hAnsi="Arial" w:cs="Arial"/>
          <w:sz w:val="24"/>
          <w:szCs w:val="24"/>
          <w:lang w:val="pt-BR"/>
        </w:rPr>
        <w:t>ponto 5.2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EA256B" w:rsidRPr="00D01E89">
        <w:rPr>
          <w:rFonts w:ascii="Arial" w:hAnsi="Arial" w:cs="Arial"/>
          <w:sz w:val="24"/>
          <w:szCs w:val="24"/>
          <w:lang w:val="pt-BR"/>
        </w:rPr>
        <w:t xml:space="preserve">para apreciação pelos Estados-Membros na </w:t>
      </w:r>
      <w:r w:rsidR="00F96841" w:rsidRPr="00D01E89">
        <w:rPr>
          <w:rFonts w:ascii="Arial" w:hAnsi="Arial" w:cs="Arial"/>
          <w:sz w:val="24"/>
          <w:szCs w:val="24"/>
          <w:lang w:val="pt-BR"/>
        </w:rPr>
        <w:t xml:space="preserve">próxima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reunião </w:t>
      </w:r>
      <w:r w:rsidR="00F96841" w:rsidRPr="00D01E89">
        <w:rPr>
          <w:rFonts w:ascii="Arial" w:hAnsi="Arial" w:cs="Arial"/>
          <w:sz w:val="24"/>
          <w:szCs w:val="24"/>
          <w:lang w:val="pt-BR"/>
        </w:rPr>
        <w:t>do TNF-Servi</w:t>
      </w:r>
      <w:r w:rsidR="00880694">
        <w:rPr>
          <w:rFonts w:ascii="Arial" w:hAnsi="Arial" w:cs="Arial"/>
          <w:sz w:val="24"/>
          <w:szCs w:val="24"/>
          <w:lang w:val="pt-BR"/>
        </w:rPr>
        <w:t>ço</w:t>
      </w:r>
      <w:r w:rsidR="00F96841" w:rsidRPr="00D01E89">
        <w:rPr>
          <w:rFonts w:ascii="Arial" w:hAnsi="Arial" w:cs="Arial"/>
          <w:sz w:val="24"/>
          <w:szCs w:val="24"/>
          <w:lang w:val="pt-BR"/>
        </w:rPr>
        <w:t>s.</w:t>
      </w:r>
    </w:p>
    <w:p w14:paraId="4D4DFC55" w14:textId="77777777" w:rsidR="0019012A" w:rsidRPr="00D01E89" w:rsidRDefault="00895CA3">
      <w:pPr>
        <w:pStyle w:val="ListParagraph"/>
        <w:numPr>
          <w:ilvl w:val="2"/>
          <w:numId w:val="1"/>
        </w:numPr>
        <w:spacing w:before="120" w:after="0" w:line="312" w:lineRule="auto"/>
        <w:ind w:hanging="1224"/>
        <w:jc w:val="both"/>
        <w:rPr>
          <w:rFonts w:ascii="Arial Bold" w:hAnsi="Arial Bold" w:cs="Arial"/>
          <w:b/>
          <w:bCs/>
          <w:caps/>
          <w:sz w:val="24"/>
          <w:szCs w:val="24"/>
          <w:lang w:val="pt-BR"/>
        </w:rPr>
      </w:pPr>
      <w:r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 xml:space="preserve">Envolvimento das partes interessadas </w:t>
      </w:r>
      <w:r w:rsidR="000E5A05"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>[Secção 6]</w:t>
      </w:r>
    </w:p>
    <w:p w14:paraId="43D626C4" w14:textId="77777777" w:rsidR="0019012A" w:rsidRPr="00D01E89" w:rsidRDefault="00895CA3">
      <w:pPr>
        <w:spacing w:before="120" w:after="0" w:line="312" w:lineRule="auto"/>
        <w:ind w:left="135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Não há comentários dos </w:t>
      </w:r>
      <w:r w:rsidR="00AF1A24" w:rsidRPr="00D01E89">
        <w:rPr>
          <w:rFonts w:ascii="Arial" w:hAnsi="Arial" w:cs="Arial"/>
          <w:sz w:val="24"/>
          <w:szCs w:val="24"/>
          <w:lang w:val="pt-BR"/>
        </w:rPr>
        <w:t>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AF1A24" w:rsidRPr="00D01E89">
        <w:rPr>
          <w:rFonts w:ascii="Arial" w:hAnsi="Arial" w:cs="Arial"/>
          <w:sz w:val="24"/>
          <w:szCs w:val="24"/>
          <w:lang w:val="pt-BR"/>
        </w:rPr>
        <w:t xml:space="preserve">Membros. </w:t>
      </w:r>
    </w:p>
    <w:p w14:paraId="0999F789" w14:textId="77777777" w:rsidR="00765FA3" w:rsidRPr="00D01E89" w:rsidRDefault="00765FA3" w:rsidP="00765FA3">
      <w:pPr>
        <w:tabs>
          <w:tab w:val="left" w:pos="1170"/>
        </w:tabs>
        <w:spacing w:after="0" w:line="312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72B9FD70" w14:textId="77777777" w:rsidR="0019012A" w:rsidRPr="00D01E89" w:rsidRDefault="00895CA3">
      <w:pPr>
        <w:pStyle w:val="ListParagraph"/>
        <w:numPr>
          <w:ilvl w:val="2"/>
          <w:numId w:val="1"/>
        </w:numPr>
        <w:spacing w:after="0" w:line="312" w:lineRule="auto"/>
        <w:ind w:hanging="1224"/>
        <w:jc w:val="both"/>
        <w:rPr>
          <w:rFonts w:ascii="Arial Bold" w:hAnsi="Arial Bold" w:cs="Arial"/>
          <w:b/>
          <w:bCs/>
          <w:caps/>
          <w:sz w:val="24"/>
          <w:szCs w:val="24"/>
          <w:lang w:val="pt-BR"/>
        </w:rPr>
      </w:pPr>
      <w:r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>Estruturas e etapas de negociação [Secção 7]</w:t>
      </w:r>
    </w:p>
    <w:p w14:paraId="643C9424" w14:textId="156E4BB0" w:rsidR="0019012A" w:rsidRPr="00D01E89" w:rsidRDefault="00C1794A">
      <w:pPr>
        <w:pStyle w:val="ListParagraph"/>
        <w:numPr>
          <w:ilvl w:val="0"/>
          <w:numId w:val="23"/>
        </w:numPr>
        <w:tabs>
          <w:tab w:val="left" w:pos="851"/>
        </w:tabs>
        <w:spacing w:before="240" w:after="0" w:line="312" w:lineRule="auto"/>
        <w:ind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Parágrafo </w:t>
      </w:r>
      <w:r w:rsidR="00262FD4" w:rsidRPr="00D01E89">
        <w:rPr>
          <w:rFonts w:ascii="Arial" w:hAnsi="Arial" w:cs="Arial"/>
          <w:b/>
          <w:bCs/>
          <w:sz w:val="24"/>
          <w:szCs w:val="24"/>
          <w:lang w:val="pt-BR"/>
        </w:rPr>
        <w:t>7</w:t>
      </w:r>
      <w:r w:rsidR="00783E10" w:rsidRPr="00D01E89">
        <w:rPr>
          <w:rFonts w:ascii="Arial" w:hAnsi="Arial" w:cs="Arial"/>
          <w:b/>
          <w:bCs/>
          <w:sz w:val="24"/>
          <w:szCs w:val="24"/>
          <w:lang w:val="pt-BR"/>
        </w:rPr>
        <w:t>.</w:t>
      </w:r>
      <w:r w:rsidR="00262FD4"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1 </w:t>
      </w:r>
      <w:r w:rsidR="003B7359" w:rsidRPr="00D01E89">
        <w:rPr>
          <w:rFonts w:ascii="Arial" w:hAnsi="Arial" w:cs="Arial"/>
          <w:sz w:val="24"/>
          <w:szCs w:val="24"/>
          <w:lang w:val="pt-BR"/>
        </w:rPr>
        <w:t xml:space="preserve">- </w:t>
      </w:r>
      <w:r w:rsidR="008974A9" w:rsidRPr="00D01E89">
        <w:rPr>
          <w:rFonts w:ascii="Arial" w:hAnsi="Arial" w:cs="Arial"/>
          <w:sz w:val="24"/>
          <w:szCs w:val="24"/>
          <w:lang w:val="pt-BR"/>
        </w:rPr>
        <w:t xml:space="preserve">A reunião notou que </w:t>
      </w:r>
      <w:r w:rsidR="004C6578">
        <w:rPr>
          <w:rFonts w:ascii="Arial" w:hAnsi="Arial" w:cs="Arial"/>
          <w:sz w:val="24"/>
          <w:szCs w:val="24"/>
          <w:lang w:val="pt-BR"/>
        </w:rPr>
        <w:t>o</w:t>
      </w:r>
      <w:r w:rsidR="008974A9" w:rsidRPr="00D01E89">
        <w:rPr>
          <w:rFonts w:ascii="Arial" w:hAnsi="Arial" w:cs="Arial"/>
          <w:sz w:val="24"/>
          <w:szCs w:val="24"/>
          <w:lang w:val="pt-BR"/>
        </w:rPr>
        <w:t xml:space="preserve"> TNF-Servi</w:t>
      </w:r>
      <w:r w:rsidR="00880694">
        <w:rPr>
          <w:rFonts w:ascii="Arial" w:hAnsi="Arial" w:cs="Arial"/>
          <w:sz w:val="24"/>
          <w:szCs w:val="24"/>
          <w:lang w:val="pt-BR"/>
        </w:rPr>
        <w:t>ço</w:t>
      </w:r>
      <w:r w:rsidR="008974A9" w:rsidRPr="00D01E89">
        <w:rPr>
          <w:rFonts w:ascii="Arial" w:hAnsi="Arial" w:cs="Arial"/>
          <w:sz w:val="24"/>
          <w:szCs w:val="24"/>
          <w:lang w:val="pt-BR"/>
        </w:rPr>
        <w:t xml:space="preserve">s não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tinha </w:t>
      </w:r>
      <w:r w:rsidR="00496EA5" w:rsidRPr="00D01E89">
        <w:rPr>
          <w:rFonts w:ascii="Arial" w:hAnsi="Arial" w:cs="Arial"/>
          <w:sz w:val="24"/>
          <w:szCs w:val="24"/>
          <w:lang w:val="pt-BR"/>
        </w:rPr>
        <w:t xml:space="preserve">mandato para criar </w:t>
      </w:r>
      <w:r w:rsidR="008F41B1" w:rsidRPr="00D01E89">
        <w:rPr>
          <w:rFonts w:ascii="Arial" w:hAnsi="Arial" w:cs="Arial"/>
          <w:sz w:val="24"/>
          <w:szCs w:val="24"/>
          <w:lang w:val="pt-BR"/>
        </w:rPr>
        <w:t>subcomités</w:t>
      </w:r>
      <w:r w:rsidR="00496EA5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8F41B1" w:rsidRPr="00D01E89">
        <w:rPr>
          <w:rFonts w:ascii="Arial" w:hAnsi="Arial" w:cs="Arial"/>
          <w:sz w:val="24"/>
          <w:szCs w:val="24"/>
          <w:lang w:val="pt-BR"/>
        </w:rPr>
        <w:t>uma</w:t>
      </w:r>
      <w:r w:rsidR="00496EA5" w:rsidRPr="00D01E89">
        <w:rPr>
          <w:rFonts w:ascii="Arial" w:hAnsi="Arial" w:cs="Arial"/>
          <w:sz w:val="24"/>
          <w:szCs w:val="24"/>
          <w:lang w:val="pt-BR"/>
        </w:rPr>
        <w:t xml:space="preserve"> vez que o Artigo 24º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atribuía </w:t>
      </w:r>
      <w:r w:rsidR="00496EA5" w:rsidRPr="00D01E89">
        <w:rPr>
          <w:rFonts w:ascii="Arial" w:hAnsi="Arial" w:cs="Arial"/>
          <w:sz w:val="24"/>
          <w:szCs w:val="24"/>
          <w:lang w:val="pt-BR"/>
        </w:rPr>
        <w:t xml:space="preserve">esse papel ao Comité de Ministros do Comércio </w:t>
      </w:r>
      <w:r w:rsidR="008F41B1" w:rsidRPr="00D01E89">
        <w:rPr>
          <w:rFonts w:ascii="Arial" w:hAnsi="Arial" w:cs="Arial"/>
          <w:sz w:val="24"/>
          <w:szCs w:val="24"/>
          <w:lang w:val="pt-BR"/>
        </w:rPr>
        <w:t>(CMT)</w:t>
      </w:r>
      <w:r w:rsidR="001B60F8" w:rsidRPr="00D01E89">
        <w:rPr>
          <w:rFonts w:ascii="Arial" w:hAnsi="Arial" w:cs="Arial"/>
          <w:sz w:val="24"/>
          <w:szCs w:val="24"/>
          <w:lang w:val="pt-BR"/>
        </w:rPr>
        <w:t xml:space="preserve">. Notou-se ainda que, como o 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TNF-Serviços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tinha </w:t>
      </w:r>
      <w:r w:rsidR="001B60F8" w:rsidRPr="00D01E89">
        <w:rPr>
          <w:rFonts w:ascii="Arial" w:hAnsi="Arial" w:cs="Arial"/>
          <w:sz w:val="24"/>
          <w:szCs w:val="24"/>
          <w:lang w:val="pt-BR"/>
        </w:rPr>
        <w:t xml:space="preserve">beneficiado do aconselhamento dos 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Grupos de </w:t>
      </w:r>
      <w:r w:rsidR="001B60F8" w:rsidRPr="00D01E89">
        <w:rPr>
          <w:rFonts w:ascii="Arial" w:hAnsi="Arial" w:cs="Arial"/>
          <w:sz w:val="24"/>
          <w:szCs w:val="24"/>
          <w:lang w:val="pt-BR"/>
        </w:rPr>
        <w:t>Focalização Sectorial (SFG</w:t>
      </w:r>
      <w:r w:rsidR="008F41B1" w:rsidRPr="00D01E89">
        <w:rPr>
          <w:rFonts w:ascii="Arial" w:hAnsi="Arial" w:cs="Arial"/>
          <w:sz w:val="24"/>
          <w:szCs w:val="24"/>
          <w:lang w:val="pt-BR"/>
        </w:rPr>
        <w:t>)</w:t>
      </w:r>
      <w:r w:rsidR="001B60F8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AA6343" w:rsidRPr="00D01E89">
        <w:rPr>
          <w:rFonts w:ascii="Arial" w:hAnsi="Arial" w:cs="Arial"/>
          <w:sz w:val="24"/>
          <w:szCs w:val="24"/>
          <w:lang w:val="pt-BR"/>
        </w:rPr>
        <w:t xml:space="preserve">era </w:t>
      </w:r>
      <w:r w:rsidR="00D946DD" w:rsidRPr="00D01E89">
        <w:rPr>
          <w:rFonts w:ascii="Arial" w:hAnsi="Arial" w:cs="Arial"/>
          <w:sz w:val="24"/>
          <w:szCs w:val="24"/>
          <w:lang w:val="pt-BR"/>
        </w:rPr>
        <w:t xml:space="preserve">prudente </w:t>
      </w:r>
      <w:r w:rsidR="00AA6343" w:rsidRPr="00D01E89">
        <w:rPr>
          <w:rFonts w:ascii="Arial" w:hAnsi="Arial" w:cs="Arial"/>
          <w:sz w:val="24"/>
          <w:szCs w:val="24"/>
          <w:lang w:val="pt-BR"/>
        </w:rPr>
        <w:t xml:space="preserve">que as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D946DD" w:rsidRPr="00D01E89">
        <w:rPr>
          <w:rFonts w:ascii="Arial" w:hAnsi="Arial" w:cs="Arial"/>
          <w:sz w:val="24"/>
          <w:szCs w:val="24"/>
          <w:lang w:val="pt-BR"/>
        </w:rPr>
        <w:t xml:space="preserve"> previssem </w:t>
      </w:r>
      <w:r w:rsidR="00AA6343" w:rsidRPr="00D01E89">
        <w:rPr>
          <w:rFonts w:ascii="Arial" w:hAnsi="Arial" w:cs="Arial"/>
          <w:sz w:val="24"/>
          <w:szCs w:val="24"/>
          <w:lang w:val="pt-BR"/>
        </w:rPr>
        <w:t xml:space="preserve">essa </w:t>
      </w:r>
      <w:r w:rsidR="0085480D" w:rsidRPr="00D01E89">
        <w:rPr>
          <w:rFonts w:ascii="Arial" w:hAnsi="Arial" w:cs="Arial"/>
          <w:sz w:val="24"/>
          <w:szCs w:val="24"/>
          <w:lang w:val="pt-BR"/>
        </w:rPr>
        <w:t>estrutura e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D946DD" w:rsidRPr="00D01E89">
        <w:rPr>
          <w:rFonts w:ascii="Arial" w:hAnsi="Arial" w:cs="Arial"/>
          <w:sz w:val="24"/>
          <w:szCs w:val="24"/>
          <w:lang w:val="pt-BR"/>
        </w:rPr>
        <w:t xml:space="preserve">após a </w:t>
      </w:r>
      <w:r w:rsidR="00552ED9" w:rsidRPr="00D01E89">
        <w:rPr>
          <w:rFonts w:ascii="Arial" w:hAnsi="Arial" w:cs="Arial"/>
          <w:sz w:val="24"/>
          <w:szCs w:val="24"/>
          <w:lang w:val="pt-BR"/>
        </w:rPr>
        <w:t xml:space="preserve">sua </w:t>
      </w:r>
      <w:r w:rsidR="00D946DD" w:rsidRPr="00D01E89">
        <w:rPr>
          <w:rFonts w:ascii="Arial" w:hAnsi="Arial" w:cs="Arial"/>
          <w:sz w:val="24"/>
          <w:szCs w:val="24"/>
          <w:lang w:val="pt-BR"/>
        </w:rPr>
        <w:t xml:space="preserve">aprovação pelo CMT, a estrutura seria considerada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uma </w:t>
      </w:r>
      <w:r w:rsidR="00441B0D" w:rsidRPr="00D01E89">
        <w:rPr>
          <w:rFonts w:ascii="Arial" w:hAnsi="Arial" w:cs="Arial"/>
          <w:sz w:val="24"/>
          <w:szCs w:val="24"/>
          <w:lang w:val="pt-BR"/>
        </w:rPr>
        <w:t xml:space="preserve">estrutura formal. Alguns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Estados-Membros </w:t>
      </w:r>
      <w:r w:rsidR="00441B0D" w:rsidRPr="00D01E89">
        <w:rPr>
          <w:rFonts w:ascii="Arial" w:hAnsi="Arial" w:cs="Arial"/>
          <w:sz w:val="24"/>
          <w:szCs w:val="24"/>
          <w:lang w:val="pt-BR"/>
        </w:rPr>
        <w:t xml:space="preserve">sugeriram </w:t>
      </w:r>
      <w:r w:rsidR="008F41B1" w:rsidRPr="00D01E89">
        <w:rPr>
          <w:rFonts w:ascii="Arial" w:hAnsi="Arial" w:cs="Arial"/>
          <w:sz w:val="24"/>
          <w:szCs w:val="24"/>
          <w:lang w:val="pt-BR"/>
        </w:rPr>
        <w:t>a</w:t>
      </w:r>
      <w:r w:rsidR="00441B0D" w:rsidRPr="00D01E89">
        <w:rPr>
          <w:rFonts w:ascii="Arial" w:hAnsi="Arial" w:cs="Arial"/>
          <w:sz w:val="24"/>
          <w:szCs w:val="24"/>
          <w:lang w:val="pt-BR"/>
        </w:rPr>
        <w:t xml:space="preserve"> utilização da </w:t>
      </w:r>
      <w:r w:rsidR="00701F64" w:rsidRPr="00D01E89">
        <w:rPr>
          <w:rFonts w:ascii="Arial" w:hAnsi="Arial" w:cs="Arial"/>
          <w:sz w:val="24"/>
          <w:szCs w:val="24"/>
          <w:lang w:val="pt-BR"/>
        </w:rPr>
        <w:t xml:space="preserve">designação </w:t>
      </w:r>
      <w:r w:rsidR="008F41B1" w:rsidRPr="00D01E89">
        <w:rPr>
          <w:rFonts w:ascii="Arial" w:hAnsi="Arial" w:cs="Arial"/>
          <w:sz w:val="24"/>
          <w:szCs w:val="24"/>
          <w:lang w:val="pt-BR"/>
        </w:rPr>
        <w:t>"</w:t>
      </w:r>
      <w:r w:rsidR="00E02AB0" w:rsidRPr="00D01E89">
        <w:rPr>
          <w:rFonts w:ascii="Arial" w:hAnsi="Arial" w:cs="Arial"/>
          <w:sz w:val="24"/>
          <w:szCs w:val="24"/>
          <w:lang w:val="pt-BR"/>
        </w:rPr>
        <w:t>grupo de trabalho técnico (GTT)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" </w:t>
      </w:r>
      <w:r w:rsidR="00E02AB0" w:rsidRPr="00D01E89">
        <w:rPr>
          <w:rFonts w:ascii="Arial" w:hAnsi="Arial" w:cs="Arial"/>
          <w:sz w:val="24"/>
          <w:szCs w:val="24"/>
          <w:lang w:val="pt-BR"/>
        </w:rPr>
        <w:t>em vez de SFG</w:t>
      </w:r>
      <w:r w:rsidR="0085480D" w:rsidRPr="00D01E89">
        <w:rPr>
          <w:rFonts w:ascii="Arial" w:hAnsi="Arial" w:cs="Arial"/>
          <w:sz w:val="24"/>
          <w:szCs w:val="24"/>
          <w:lang w:val="pt-BR"/>
        </w:rPr>
        <w:t xml:space="preserve">, mas a reunião concordou em manter a utilização de SFG por uma questão de </w:t>
      </w:r>
      <w:r w:rsidR="008F41B1" w:rsidRPr="00D01E89">
        <w:rPr>
          <w:rFonts w:ascii="Arial" w:hAnsi="Arial" w:cs="Arial"/>
          <w:sz w:val="24"/>
          <w:szCs w:val="24"/>
          <w:lang w:val="pt-BR"/>
        </w:rPr>
        <w:t>coerência</w:t>
      </w:r>
      <w:r w:rsidR="009D72F7" w:rsidRPr="00D01E89">
        <w:rPr>
          <w:rFonts w:ascii="Arial" w:hAnsi="Arial" w:cs="Arial"/>
          <w:sz w:val="24"/>
          <w:szCs w:val="24"/>
          <w:lang w:val="pt-BR"/>
        </w:rPr>
        <w:t xml:space="preserve">, uma vez que </w:t>
      </w:r>
      <w:r w:rsidR="004C6578">
        <w:rPr>
          <w:rFonts w:ascii="Arial" w:hAnsi="Arial" w:cs="Arial"/>
          <w:sz w:val="24"/>
          <w:szCs w:val="24"/>
          <w:lang w:val="pt-BR"/>
        </w:rPr>
        <w:t>o</w:t>
      </w:r>
      <w:r w:rsidR="009D72F7" w:rsidRPr="00D01E89">
        <w:rPr>
          <w:rFonts w:ascii="Arial" w:hAnsi="Arial" w:cs="Arial"/>
          <w:sz w:val="24"/>
          <w:szCs w:val="24"/>
          <w:lang w:val="pt-BR"/>
        </w:rPr>
        <w:t xml:space="preserve"> TNF-Servi</w:t>
      </w:r>
      <w:r w:rsidR="00880694">
        <w:rPr>
          <w:rFonts w:ascii="Arial" w:hAnsi="Arial" w:cs="Arial"/>
          <w:sz w:val="24"/>
          <w:szCs w:val="24"/>
          <w:lang w:val="pt-BR"/>
        </w:rPr>
        <w:t>ço</w:t>
      </w:r>
      <w:r w:rsidR="009D72F7" w:rsidRPr="00D01E89">
        <w:rPr>
          <w:rFonts w:ascii="Arial" w:hAnsi="Arial" w:cs="Arial"/>
          <w:sz w:val="24"/>
          <w:szCs w:val="24"/>
          <w:lang w:val="pt-BR"/>
        </w:rPr>
        <w:t xml:space="preserve">s </w:t>
      </w:r>
      <w:r w:rsidR="003C19AA" w:rsidRPr="00D01E89">
        <w:rPr>
          <w:rFonts w:ascii="Arial" w:hAnsi="Arial" w:cs="Arial"/>
          <w:sz w:val="24"/>
          <w:szCs w:val="24"/>
          <w:lang w:val="pt-BR"/>
        </w:rPr>
        <w:t xml:space="preserve">tinha utilizado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esta designação </w:t>
      </w:r>
      <w:r w:rsidR="001B60F8" w:rsidRPr="00D01E89">
        <w:rPr>
          <w:rFonts w:ascii="Arial" w:hAnsi="Arial" w:cs="Arial"/>
          <w:sz w:val="24"/>
          <w:szCs w:val="24"/>
          <w:lang w:val="pt-BR"/>
        </w:rPr>
        <w:t xml:space="preserve">durante a primeira ronda de negociações. </w:t>
      </w:r>
      <w:r w:rsidR="005D250C" w:rsidRPr="00D01E89">
        <w:rPr>
          <w:rFonts w:ascii="Arial" w:hAnsi="Arial" w:cs="Arial"/>
          <w:sz w:val="24"/>
          <w:szCs w:val="24"/>
          <w:lang w:val="pt-BR"/>
        </w:rPr>
        <w:t xml:space="preserve">Além </w:t>
      </w:r>
      <w:r w:rsidR="00531F04" w:rsidRPr="00D01E89">
        <w:rPr>
          <w:rFonts w:ascii="Arial" w:hAnsi="Arial" w:cs="Arial"/>
          <w:sz w:val="24"/>
          <w:szCs w:val="24"/>
          <w:lang w:val="pt-BR"/>
        </w:rPr>
        <w:t xml:space="preserve">disso, os Estados-Membros propuseram </w:t>
      </w:r>
      <w:r w:rsidR="003B7359" w:rsidRPr="00D01E89">
        <w:rPr>
          <w:rFonts w:ascii="Arial" w:hAnsi="Arial" w:cs="Arial"/>
          <w:sz w:val="24"/>
          <w:szCs w:val="24"/>
          <w:lang w:val="pt-BR"/>
        </w:rPr>
        <w:t xml:space="preserve">substituir as palavras </w:t>
      </w:r>
      <w:r w:rsidR="00CD3D31" w:rsidRPr="00D01E89">
        <w:rPr>
          <w:rFonts w:ascii="Arial" w:hAnsi="Arial" w:cs="Arial"/>
          <w:sz w:val="24"/>
          <w:szCs w:val="24"/>
          <w:lang w:val="pt-BR"/>
        </w:rPr>
        <w:t xml:space="preserve">"... </w:t>
      </w:r>
      <w:r w:rsidR="00CD3D31" w:rsidRPr="00D01E89">
        <w:rPr>
          <w:rFonts w:ascii="Arial" w:hAnsi="Arial" w:cs="Arial"/>
          <w:i/>
          <w:iCs/>
          <w:sz w:val="24"/>
          <w:szCs w:val="24"/>
          <w:lang w:val="pt-BR"/>
        </w:rPr>
        <w:t>manifestar interesse ...</w:t>
      </w:r>
      <w:r w:rsidR="00CD3D31" w:rsidRPr="00D01E89">
        <w:rPr>
          <w:rFonts w:ascii="Arial" w:hAnsi="Arial" w:cs="Arial"/>
          <w:sz w:val="24"/>
          <w:szCs w:val="24"/>
          <w:lang w:val="pt-BR"/>
        </w:rPr>
        <w:t xml:space="preserve">" </w:t>
      </w:r>
      <w:r w:rsidR="00121B3D" w:rsidRPr="00D01E89">
        <w:rPr>
          <w:rFonts w:ascii="Arial" w:hAnsi="Arial" w:cs="Arial"/>
          <w:sz w:val="24"/>
          <w:szCs w:val="24"/>
          <w:lang w:val="pt-BR"/>
        </w:rPr>
        <w:t xml:space="preserve">pelas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palavras "... </w:t>
      </w:r>
      <w:r w:rsidR="00DE72C4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fornecer </w:t>
      </w:r>
      <w:r w:rsidR="004A559E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contributos </w:t>
      </w:r>
      <w:r w:rsidR="00121B3D" w:rsidRPr="00D01E89">
        <w:rPr>
          <w:rFonts w:ascii="Arial" w:hAnsi="Arial" w:cs="Arial"/>
          <w:sz w:val="24"/>
          <w:szCs w:val="24"/>
          <w:lang w:val="pt-BR"/>
        </w:rPr>
        <w:t xml:space="preserve">..." </w:t>
      </w:r>
      <w:r w:rsidR="009F26B1" w:rsidRPr="00D01E89">
        <w:rPr>
          <w:rFonts w:ascii="Arial" w:hAnsi="Arial" w:cs="Arial"/>
          <w:sz w:val="24"/>
          <w:szCs w:val="24"/>
          <w:lang w:val="pt-BR"/>
        </w:rPr>
        <w:t>no n.º 7</w:t>
      </w:r>
      <w:r w:rsidR="008F41B1" w:rsidRPr="00D01E89">
        <w:rPr>
          <w:rFonts w:ascii="Arial" w:hAnsi="Arial" w:cs="Arial"/>
          <w:sz w:val="24"/>
          <w:szCs w:val="24"/>
          <w:lang w:val="pt-BR"/>
        </w:rPr>
        <w:t>.</w:t>
      </w:r>
      <w:r w:rsidR="009F26B1" w:rsidRPr="00D01E89">
        <w:rPr>
          <w:rFonts w:ascii="Arial" w:hAnsi="Arial" w:cs="Arial"/>
          <w:sz w:val="24"/>
          <w:szCs w:val="24"/>
          <w:lang w:val="pt-BR"/>
        </w:rPr>
        <w:t>1, alínea a)</w:t>
      </w:r>
      <w:r w:rsidR="003B3176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030C1CFF" w14:textId="7E293ADF" w:rsidR="0019012A" w:rsidRPr="00D01E89" w:rsidRDefault="00783E10">
      <w:pPr>
        <w:pStyle w:val="ListParagraph"/>
        <w:numPr>
          <w:ilvl w:val="0"/>
          <w:numId w:val="23"/>
        </w:numPr>
        <w:tabs>
          <w:tab w:val="left" w:pos="851"/>
        </w:tabs>
        <w:spacing w:before="240" w:after="0" w:line="312" w:lineRule="auto"/>
        <w:ind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>Ponto 7.</w:t>
      </w:r>
      <w:r w:rsidR="00FE5589"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3 </w:t>
      </w:r>
      <w:r w:rsidR="00192BA3" w:rsidRPr="00D01E89">
        <w:rPr>
          <w:rFonts w:ascii="Arial" w:hAnsi="Arial" w:cs="Arial"/>
          <w:sz w:val="24"/>
          <w:szCs w:val="24"/>
          <w:lang w:val="pt-BR"/>
        </w:rPr>
        <w:t xml:space="preserve">- </w:t>
      </w:r>
      <w:r w:rsidR="008F41B1"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192BA3" w:rsidRPr="00D01E89">
        <w:rPr>
          <w:rFonts w:ascii="Arial" w:hAnsi="Arial" w:cs="Arial"/>
          <w:sz w:val="24"/>
          <w:szCs w:val="24"/>
          <w:lang w:val="pt-BR"/>
        </w:rPr>
        <w:t xml:space="preserve">tiveram </w:t>
      </w:r>
      <w:r w:rsidR="008F41B1" w:rsidRPr="00D01E89">
        <w:rPr>
          <w:rFonts w:ascii="Arial" w:hAnsi="Arial" w:cs="Arial"/>
          <w:sz w:val="24"/>
          <w:szCs w:val="24"/>
          <w:lang w:val="pt-BR"/>
        </w:rPr>
        <w:t>opiniões</w:t>
      </w:r>
      <w:r w:rsidR="00192BA3" w:rsidRPr="00D01E89">
        <w:rPr>
          <w:rFonts w:ascii="Arial" w:hAnsi="Arial" w:cs="Arial"/>
          <w:sz w:val="24"/>
          <w:szCs w:val="24"/>
          <w:lang w:val="pt-BR"/>
        </w:rPr>
        <w:t xml:space="preserve"> divergentes sobre a inclusão </w:t>
      </w:r>
      <w:r w:rsidR="001E1970" w:rsidRPr="00D01E89">
        <w:rPr>
          <w:rFonts w:ascii="Arial" w:hAnsi="Arial" w:cs="Arial"/>
          <w:sz w:val="24"/>
          <w:szCs w:val="24"/>
          <w:lang w:val="pt-BR"/>
        </w:rPr>
        <w:t xml:space="preserve">deste </w:t>
      </w:r>
      <w:r w:rsidR="00192BA3" w:rsidRPr="00D01E89">
        <w:rPr>
          <w:rFonts w:ascii="Arial" w:hAnsi="Arial" w:cs="Arial"/>
          <w:sz w:val="24"/>
          <w:szCs w:val="24"/>
          <w:lang w:val="pt-BR"/>
        </w:rPr>
        <w:t>ponto</w:t>
      </w:r>
      <w:r w:rsidR="001E1970" w:rsidRPr="00D01E89">
        <w:rPr>
          <w:rFonts w:ascii="Arial" w:hAnsi="Arial" w:cs="Arial"/>
          <w:sz w:val="24"/>
          <w:szCs w:val="24"/>
          <w:lang w:val="pt-BR"/>
        </w:rPr>
        <w:t xml:space="preserve">, uma vez que alguns pretendiam </w:t>
      </w:r>
      <w:r w:rsidR="009079FB" w:rsidRPr="00D01E89">
        <w:rPr>
          <w:rFonts w:ascii="Arial" w:hAnsi="Arial" w:cs="Arial"/>
          <w:sz w:val="24"/>
          <w:szCs w:val="24"/>
          <w:lang w:val="pt-BR"/>
        </w:rPr>
        <w:t xml:space="preserve">excluir </w:t>
      </w:r>
      <w:r w:rsidR="00B938DA" w:rsidRPr="00D01E89">
        <w:rPr>
          <w:rFonts w:ascii="Arial" w:hAnsi="Arial" w:cs="Arial"/>
          <w:sz w:val="24"/>
          <w:szCs w:val="24"/>
          <w:lang w:val="pt-BR"/>
        </w:rPr>
        <w:t xml:space="preserve">a questão da forma como o texto final </w:t>
      </w:r>
      <w:r w:rsidR="00701F64" w:rsidRPr="00D01E89">
        <w:rPr>
          <w:rFonts w:ascii="Arial" w:hAnsi="Arial" w:cs="Arial"/>
          <w:sz w:val="24"/>
          <w:szCs w:val="24"/>
          <w:lang w:val="pt-BR"/>
        </w:rPr>
        <w:t xml:space="preserve">dos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B938DA" w:rsidRPr="00D01E89">
        <w:rPr>
          <w:rFonts w:ascii="Arial" w:hAnsi="Arial" w:cs="Arial"/>
          <w:sz w:val="24"/>
          <w:szCs w:val="24"/>
          <w:lang w:val="pt-BR"/>
        </w:rPr>
        <w:t xml:space="preserve"> seria adotado </w:t>
      </w:r>
      <w:r w:rsidR="00701F64" w:rsidRPr="00D01E89">
        <w:rPr>
          <w:rFonts w:ascii="Arial" w:hAnsi="Arial" w:cs="Arial"/>
          <w:sz w:val="24"/>
          <w:szCs w:val="24"/>
          <w:lang w:val="pt-BR"/>
        </w:rPr>
        <w:t xml:space="preserve">pela </w:t>
      </w:r>
      <w:r w:rsidR="00B938DA" w:rsidRPr="00D01E89">
        <w:rPr>
          <w:rFonts w:ascii="Arial" w:hAnsi="Arial" w:cs="Arial"/>
          <w:sz w:val="24"/>
          <w:szCs w:val="24"/>
          <w:lang w:val="pt-BR"/>
        </w:rPr>
        <w:t>CMT</w:t>
      </w:r>
      <w:r w:rsidR="001605E9" w:rsidRPr="00D01E89">
        <w:rPr>
          <w:rFonts w:ascii="Arial" w:hAnsi="Arial" w:cs="Arial"/>
          <w:sz w:val="24"/>
          <w:szCs w:val="24"/>
          <w:lang w:val="pt-BR"/>
        </w:rPr>
        <w:t xml:space="preserve">. Tal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implicava adiar </w:t>
      </w:r>
      <w:r w:rsidR="009079FB" w:rsidRPr="00D01E89">
        <w:rPr>
          <w:rFonts w:ascii="Arial" w:hAnsi="Arial" w:cs="Arial"/>
          <w:sz w:val="24"/>
          <w:szCs w:val="24"/>
          <w:lang w:val="pt-BR"/>
        </w:rPr>
        <w:t xml:space="preserve">a decisão </w:t>
      </w:r>
      <w:r w:rsidR="00E35091" w:rsidRPr="00D01E89">
        <w:rPr>
          <w:rFonts w:ascii="Arial" w:hAnsi="Arial" w:cs="Arial"/>
          <w:sz w:val="24"/>
          <w:szCs w:val="24"/>
          <w:lang w:val="pt-BR"/>
        </w:rPr>
        <w:t xml:space="preserve">para o momento da </w:t>
      </w:r>
      <w:r w:rsidR="001605E9" w:rsidRPr="00D01E89">
        <w:rPr>
          <w:rFonts w:ascii="Arial" w:hAnsi="Arial" w:cs="Arial"/>
          <w:sz w:val="24"/>
          <w:szCs w:val="24"/>
          <w:lang w:val="pt-BR"/>
        </w:rPr>
        <w:t xml:space="preserve">finalização de </w:t>
      </w:r>
      <w:r w:rsidR="00C94951" w:rsidRPr="00D01E89">
        <w:rPr>
          <w:rFonts w:ascii="Arial" w:hAnsi="Arial" w:cs="Arial"/>
          <w:sz w:val="24"/>
          <w:szCs w:val="24"/>
          <w:lang w:val="pt-BR"/>
        </w:rPr>
        <w:t xml:space="preserve">um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C94951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C94951" w:rsidRPr="00D01E89">
        <w:rPr>
          <w:rFonts w:ascii="Arial" w:hAnsi="Arial" w:cs="Arial"/>
          <w:sz w:val="24"/>
          <w:szCs w:val="24"/>
          <w:lang w:val="pt-BR"/>
        </w:rPr>
        <w:lastRenderedPageBreak/>
        <w:t xml:space="preserve">altura em </w:t>
      </w:r>
      <w:r w:rsidR="00A9762F" w:rsidRPr="00D01E89">
        <w:rPr>
          <w:rFonts w:ascii="Arial" w:hAnsi="Arial" w:cs="Arial"/>
          <w:sz w:val="24"/>
          <w:szCs w:val="24"/>
          <w:lang w:val="pt-BR"/>
        </w:rPr>
        <w:t xml:space="preserve">que </w:t>
      </w:r>
      <w:r w:rsidR="004C6578">
        <w:rPr>
          <w:rFonts w:ascii="Arial" w:hAnsi="Arial" w:cs="Arial"/>
          <w:sz w:val="24"/>
          <w:szCs w:val="24"/>
          <w:lang w:val="pt-BR"/>
        </w:rPr>
        <w:t xml:space="preserve">o </w:t>
      </w:r>
      <w:r w:rsidR="009079FB" w:rsidRPr="00D01E89">
        <w:rPr>
          <w:rFonts w:ascii="Arial" w:hAnsi="Arial" w:cs="Arial"/>
          <w:sz w:val="24"/>
          <w:szCs w:val="24"/>
          <w:lang w:val="pt-BR"/>
        </w:rPr>
        <w:t>TNF-Servi</w:t>
      </w:r>
      <w:r w:rsidR="00996827">
        <w:rPr>
          <w:rFonts w:ascii="Arial" w:hAnsi="Arial" w:cs="Arial"/>
          <w:sz w:val="24"/>
          <w:szCs w:val="24"/>
          <w:lang w:val="pt-BR"/>
        </w:rPr>
        <w:t>ço</w:t>
      </w:r>
      <w:r w:rsidR="009079FB" w:rsidRPr="00D01E89">
        <w:rPr>
          <w:rFonts w:ascii="Arial" w:hAnsi="Arial" w:cs="Arial"/>
          <w:sz w:val="24"/>
          <w:szCs w:val="24"/>
          <w:lang w:val="pt-BR"/>
        </w:rPr>
        <w:t xml:space="preserve">s poderia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decidir </w:t>
      </w:r>
      <w:r w:rsidR="003C3E48" w:rsidRPr="00D01E89">
        <w:rPr>
          <w:rFonts w:ascii="Arial" w:hAnsi="Arial" w:cs="Arial"/>
          <w:sz w:val="24"/>
          <w:szCs w:val="24"/>
          <w:lang w:val="pt-BR"/>
        </w:rPr>
        <w:t xml:space="preserve">recomendar à CMT </w:t>
      </w:r>
      <w:r w:rsidR="00583725" w:rsidRPr="00D01E89">
        <w:rPr>
          <w:rFonts w:ascii="Arial" w:hAnsi="Arial" w:cs="Arial"/>
          <w:sz w:val="24"/>
          <w:szCs w:val="24"/>
          <w:lang w:val="pt-BR"/>
        </w:rPr>
        <w:t xml:space="preserve">se </w:t>
      </w:r>
      <w:r w:rsidR="006C6527" w:rsidRPr="00D01E89">
        <w:rPr>
          <w:rFonts w:ascii="Arial" w:hAnsi="Arial" w:cs="Arial"/>
          <w:sz w:val="24"/>
          <w:szCs w:val="24"/>
          <w:lang w:val="pt-BR"/>
        </w:rPr>
        <w:t xml:space="preserve">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6C6527" w:rsidRPr="00D01E89">
        <w:rPr>
          <w:rFonts w:ascii="Arial" w:hAnsi="Arial" w:cs="Arial"/>
          <w:sz w:val="24"/>
          <w:szCs w:val="24"/>
          <w:lang w:val="pt-BR"/>
        </w:rPr>
        <w:t xml:space="preserve"> finais </w:t>
      </w:r>
      <w:r w:rsidR="00A9762F" w:rsidRPr="00D01E89">
        <w:rPr>
          <w:rFonts w:ascii="Arial" w:hAnsi="Arial" w:cs="Arial"/>
          <w:sz w:val="24"/>
          <w:szCs w:val="24"/>
          <w:lang w:val="pt-BR"/>
        </w:rPr>
        <w:t xml:space="preserve">constituiriam </w:t>
      </w:r>
      <w:r w:rsidR="00F40D80" w:rsidRPr="00D01E89">
        <w:rPr>
          <w:rFonts w:ascii="Arial" w:hAnsi="Arial" w:cs="Arial"/>
          <w:sz w:val="24"/>
          <w:szCs w:val="24"/>
          <w:lang w:val="pt-BR"/>
        </w:rPr>
        <w:t xml:space="preserve">um </w:t>
      </w:r>
      <w:r w:rsidR="00F64F15" w:rsidRPr="00D01E89">
        <w:rPr>
          <w:rFonts w:ascii="Arial" w:hAnsi="Arial" w:cs="Arial"/>
          <w:sz w:val="24"/>
          <w:szCs w:val="24"/>
          <w:lang w:val="pt-BR"/>
        </w:rPr>
        <w:t xml:space="preserve">compromisso adicional na </w:t>
      </w:r>
      <w:r w:rsidR="003C3E48" w:rsidRPr="00D01E89">
        <w:rPr>
          <w:rFonts w:ascii="Arial" w:hAnsi="Arial" w:cs="Arial"/>
          <w:sz w:val="24"/>
          <w:szCs w:val="24"/>
          <w:lang w:val="pt-BR"/>
        </w:rPr>
        <w:t xml:space="preserve">lista/calendário </w:t>
      </w:r>
      <w:r w:rsidR="006A075B" w:rsidRPr="00D01E89">
        <w:rPr>
          <w:rFonts w:ascii="Arial" w:hAnsi="Arial" w:cs="Arial"/>
          <w:sz w:val="24"/>
          <w:szCs w:val="24"/>
          <w:lang w:val="pt-BR"/>
        </w:rPr>
        <w:t>de compromissos de um Estado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6A075B" w:rsidRPr="00D01E89">
        <w:rPr>
          <w:rFonts w:ascii="Arial" w:hAnsi="Arial" w:cs="Arial"/>
          <w:sz w:val="24"/>
          <w:szCs w:val="24"/>
          <w:lang w:val="pt-BR"/>
        </w:rPr>
        <w:t xml:space="preserve">Membro ou </w:t>
      </w:r>
      <w:r w:rsidR="0016582F" w:rsidRPr="00D01E89">
        <w:rPr>
          <w:rFonts w:ascii="Arial" w:hAnsi="Arial" w:cs="Arial"/>
          <w:sz w:val="24"/>
          <w:szCs w:val="24"/>
          <w:lang w:val="pt-BR"/>
        </w:rPr>
        <w:t xml:space="preserve">um </w:t>
      </w:r>
      <w:r w:rsidR="00F40D80" w:rsidRPr="00D01E89">
        <w:rPr>
          <w:rFonts w:ascii="Arial" w:hAnsi="Arial" w:cs="Arial"/>
          <w:sz w:val="24"/>
          <w:szCs w:val="24"/>
          <w:lang w:val="pt-BR"/>
        </w:rPr>
        <w:t xml:space="preserve">anexo nos termos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do </w:t>
      </w:r>
      <w:r w:rsidR="00F40D80" w:rsidRPr="00D01E89">
        <w:rPr>
          <w:rFonts w:ascii="Arial" w:hAnsi="Arial" w:cs="Arial"/>
          <w:sz w:val="24"/>
          <w:szCs w:val="24"/>
          <w:lang w:val="pt-BR"/>
        </w:rPr>
        <w:t xml:space="preserve">artigo </w:t>
      </w:r>
      <w:r w:rsidR="00CD1951" w:rsidRPr="00D01E89">
        <w:rPr>
          <w:rFonts w:ascii="Arial" w:hAnsi="Arial" w:cs="Arial"/>
          <w:sz w:val="24"/>
          <w:szCs w:val="24"/>
          <w:lang w:val="pt-BR"/>
        </w:rPr>
        <w:t>26</w:t>
      </w:r>
      <w:r w:rsidR="00F64F15" w:rsidRPr="00D01E89">
        <w:rPr>
          <w:rFonts w:ascii="Arial" w:hAnsi="Arial" w:cs="Arial"/>
          <w:sz w:val="24"/>
          <w:szCs w:val="24"/>
          <w:lang w:val="pt-BR"/>
        </w:rPr>
        <w:t xml:space="preserve">. Alguns </w:t>
      </w:r>
      <w:r w:rsidR="001602B6" w:rsidRPr="00D01E89">
        <w:rPr>
          <w:rFonts w:ascii="Arial" w:hAnsi="Arial" w:cs="Arial"/>
          <w:sz w:val="24"/>
          <w:szCs w:val="24"/>
          <w:lang w:val="pt-BR"/>
        </w:rPr>
        <w:t>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1602B6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2345BE" w:rsidRPr="00D01E89">
        <w:rPr>
          <w:rFonts w:ascii="Arial" w:hAnsi="Arial" w:cs="Arial"/>
          <w:sz w:val="24"/>
          <w:szCs w:val="24"/>
          <w:lang w:val="pt-BR"/>
        </w:rPr>
        <w:t xml:space="preserve">consideraram que </w:t>
      </w:r>
      <w:r w:rsidR="004B2CA3" w:rsidRPr="00D01E89">
        <w:rPr>
          <w:rFonts w:ascii="Arial" w:hAnsi="Arial" w:cs="Arial"/>
          <w:sz w:val="24"/>
          <w:szCs w:val="24"/>
          <w:lang w:val="pt-BR"/>
        </w:rPr>
        <w:t xml:space="preserve">as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4B2CA3" w:rsidRPr="00D01E89">
        <w:rPr>
          <w:rFonts w:ascii="Arial" w:hAnsi="Arial" w:cs="Arial"/>
          <w:sz w:val="24"/>
          <w:szCs w:val="24"/>
          <w:lang w:val="pt-BR"/>
        </w:rPr>
        <w:t xml:space="preserve"> estariam incompletas se não </w:t>
      </w:r>
      <w:r w:rsidR="00701F64" w:rsidRPr="00D01E89">
        <w:rPr>
          <w:rFonts w:ascii="Arial" w:hAnsi="Arial" w:cs="Arial"/>
          <w:sz w:val="24"/>
          <w:szCs w:val="24"/>
          <w:lang w:val="pt-BR"/>
        </w:rPr>
        <w:t xml:space="preserve">incluíssem </w:t>
      </w:r>
      <w:r w:rsidR="00244456" w:rsidRPr="00D01E89">
        <w:rPr>
          <w:rFonts w:ascii="Arial" w:hAnsi="Arial" w:cs="Arial"/>
          <w:sz w:val="24"/>
          <w:szCs w:val="24"/>
          <w:lang w:val="pt-BR"/>
        </w:rPr>
        <w:t xml:space="preserve">as </w:t>
      </w:r>
      <w:r w:rsidR="0072120B" w:rsidRPr="00D01E89">
        <w:rPr>
          <w:rFonts w:ascii="Arial" w:hAnsi="Arial" w:cs="Arial"/>
          <w:sz w:val="24"/>
          <w:szCs w:val="24"/>
          <w:lang w:val="pt-BR"/>
        </w:rPr>
        <w:t>etapas finais</w:t>
      </w:r>
      <w:r w:rsidR="0005450B" w:rsidRPr="00D01E89">
        <w:rPr>
          <w:rFonts w:ascii="Arial" w:hAnsi="Arial" w:cs="Arial"/>
          <w:sz w:val="24"/>
          <w:szCs w:val="24"/>
          <w:lang w:val="pt-BR"/>
        </w:rPr>
        <w:t xml:space="preserve">, incluindo a depuração </w:t>
      </w:r>
      <w:r w:rsidR="000A7B6E" w:rsidRPr="00D01E89">
        <w:rPr>
          <w:rFonts w:ascii="Arial" w:hAnsi="Arial" w:cs="Arial"/>
          <w:sz w:val="24"/>
          <w:szCs w:val="24"/>
          <w:lang w:val="pt-BR"/>
        </w:rPr>
        <w:t xml:space="preserve">ou o apuramento </w:t>
      </w:r>
      <w:r w:rsidR="0005450B" w:rsidRPr="00D01E89">
        <w:rPr>
          <w:rFonts w:ascii="Arial" w:hAnsi="Arial" w:cs="Arial"/>
          <w:sz w:val="24"/>
          <w:szCs w:val="24"/>
          <w:lang w:val="pt-BR"/>
        </w:rPr>
        <w:t xml:space="preserve">jurídico, e </w:t>
      </w:r>
      <w:r w:rsidR="007A5EC6" w:rsidRPr="00D01E89">
        <w:rPr>
          <w:rFonts w:ascii="Arial" w:hAnsi="Arial" w:cs="Arial"/>
          <w:sz w:val="24"/>
          <w:szCs w:val="24"/>
          <w:lang w:val="pt-BR"/>
        </w:rPr>
        <w:t xml:space="preserve">se </w:t>
      </w:r>
      <w:r w:rsidR="0072120B" w:rsidRPr="00D01E89">
        <w:rPr>
          <w:rFonts w:ascii="Arial" w:hAnsi="Arial" w:cs="Arial"/>
          <w:sz w:val="24"/>
          <w:szCs w:val="24"/>
          <w:lang w:val="pt-BR"/>
        </w:rPr>
        <w:t xml:space="preserve">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72120B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E164B3" w:rsidRPr="00D01E89">
        <w:rPr>
          <w:rFonts w:ascii="Arial" w:hAnsi="Arial" w:cs="Arial"/>
          <w:sz w:val="24"/>
          <w:szCs w:val="24"/>
          <w:lang w:val="pt-BR"/>
        </w:rPr>
        <w:t xml:space="preserve">finais </w:t>
      </w:r>
      <w:r w:rsidR="0072120B" w:rsidRPr="00D01E89">
        <w:rPr>
          <w:rFonts w:ascii="Arial" w:hAnsi="Arial" w:cs="Arial"/>
          <w:sz w:val="24"/>
          <w:szCs w:val="24"/>
          <w:lang w:val="pt-BR"/>
        </w:rPr>
        <w:t xml:space="preserve">seriam adoptados </w:t>
      </w:r>
      <w:r w:rsidR="00F24EA5" w:rsidRPr="00D01E89">
        <w:rPr>
          <w:rFonts w:ascii="Arial" w:hAnsi="Arial" w:cs="Arial"/>
          <w:sz w:val="24"/>
          <w:szCs w:val="24"/>
          <w:lang w:val="pt-BR"/>
        </w:rPr>
        <w:t xml:space="preserve">pela CMT e </w:t>
      </w:r>
      <w:r w:rsidR="00792142" w:rsidRPr="00D01E89">
        <w:rPr>
          <w:rFonts w:ascii="Arial" w:hAnsi="Arial" w:cs="Arial"/>
          <w:sz w:val="24"/>
          <w:szCs w:val="24"/>
          <w:lang w:val="pt-BR"/>
        </w:rPr>
        <w:t xml:space="preserve">anexados </w:t>
      </w:r>
      <w:r w:rsidR="00F24EA5" w:rsidRPr="00D01E89">
        <w:rPr>
          <w:rFonts w:ascii="Arial" w:hAnsi="Arial" w:cs="Arial"/>
          <w:sz w:val="24"/>
          <w:szCs w:val="24"/>
          <w:lang w:val="pt-BR"/>
        </w:rPr>
        <w:t>ao Protocolo</w:t>
      </w:r>
      <w:r w:rsidR="00644BB7" w:rsidRPr="00D01E89">
        <w:rPr>
          <w:rFonts w:ascii="Arial" w:hAnsi="Arial" w:cs="Arial"/>
          <w:sz w:val="24"/>
          <w:szCs w:val="24"/>
          <w:lang w:val="pt-BR"/>
        </w:rPr>
        <w:t>. Além disso, alguns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644BB7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9506E2" w:rsidRPr="00D01E89">
        <w:rPr>
          <w:rFonts w:ascii="Arial" w:hAnsi="Arial" w:cs="Arial"/>
          <w:sz w:val="24"/>
          <w:szCs w:val="24"/>
          <w:lang w:val="pt-BR"/>
        </w:rPr>
        <w:t xml:space="preserve">não </w:t>
      </w:r>
      <w:r w:rsidR="00644BB7" w:rsidRPr="00D01E89">
        <w:rPr>
          <w:rFonts w:ascii="Arial" w:hAnsi="Arial" w:cs="Arial"/>
          <w:sz w:val="24"/>
          <w:szCs w:val="24"/>
          <w:lang w:val="pt-BR"/>
        </w:rPr>
        <w:t xml:space="preserve">tinham </w:t>
      </w:r>
      <w:r w:rsidR="009506E2" w:rsidRPr="00D01E89">
        <w:rPr>
          <w:rFonts w:ascii="Arial" w:hAnsi="Arial" w:cs="Arial"/>
          <w:sz w:val="24"/>
          <w:szCs w:val="24"/>
          <w:lang w:val="pt-BR"/>
        </w:rPr>
        <w:t xml:space="preserve">a certeza de que 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9506E2" w:rsidRPr="00D01E89">
        <w:rPr>
          <w:rFonts w:ascii="Arial" w:hAnsi="Arial" w:cs="Arial"/>
          <w:sz w:val="24"/>
          <w:szCs w:val="24"/>
          <w:lang w:val="pt-BR"/>
        </w:rPr>
        <w:t xml:space="preserve"> devessem ser </w:t>
      </w:r>
      <w:r w:rsidR="004A2EA0" w:rsidRPr="00D01E89">
        <w:rPr>
          <w:rFonts w:ascii="Arial" w:hAnsi="Arial" w:cs="Arial"/>
          <w:sz w:val="24"/>
          <w:szCs w:val="24"/>
          <w:lang w:val="pt-BR"/>
        </w:rPr>
        <w:t xml:space="preserve">elaborados </w:t>
      </w:r>
      <w:r w:rsidR="007F008B" w:rsidRPr="00D01E89">
        <w:rPr>
          <w:rFonts w:ascii="Arial" w:hAnsi="Arial" w:cs="Arial"/>
          <w:sz w:val="24"/>
          <w:szCs w:val="24"/>
          <w:lang w:val="pt-BR"/>
        </w:rPr>
        <w:t xml:space="preserve">apenas </w:t>
      </w:r>
      <w:r w:rsidR="004A2EA0" w:rsidRPr="00D01E89">
        <w:rPr>
          <w:rFonts w:ascii="Arial" w:hAnsi="Arial" w:cs="Arial"/>
          <w:sz w:val="24"/>
          <w:szCs w:val="24"/>
          <w:lang w:val="pt-BR"/>
        </w:rPr>
        <w:t xml:space="preserve">ao abrigo do artigo 7.º </w:t>
      </w:r>
      <w:r w:rsidR="007F008B" w:rsidRPr="00D01E89">
        <w:rPr>
          <w:rFonts w:ascii="Arial" w:hAnsi="Arial" w:cs="Arial"/>
          <w:sz w:val="24"/>
          <w:szCs w:val="24"/>
          <w:lang w:val="pt-BR"/>
        </w:rPr>
        <w:t xml:space="preserve">ou tanto </w:t>
      </w:r>
      <w:r w:rsidR="00B47E43" w:rsidRPr="00D01E89">
        <w:rPr>
          <w:rFonts w:ascii="Arial" w:hAnsi="Arial" w:cs="Arial"/>
          <w:sz w:val="24"/>
          <w:szCs w:val="24"/>
          <w:lang w:val="pt-BR"/>
        </w:rPr>
        <w:t>do</w:t>
      </w:r>
      <w:r w:rsidR="007F008B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="004A2EA0" w:rsidRPr="00D01E89">
        <w:rPr>
          <w:rFonts w:ascii="Arial" w:hAnsi="Arial" w:cs="Arial"/>
          <w:sz w:val="24"/>
          <w:szCs w:val="24"/>
          <w:lang w:val="pt-BR"/>
        </w:rPr>
        <w:t>artigo</w:t>
      </w:r>
      <w:r w:rsidR="007F008B" w:rsidRPr="00D01E89">
        <w:rPr>
          <w:rFonts w:ascii="Arial" w:hAnsi="Arial" w:cs="Arial"/>
          <w:sz w:val="24"/>
          <w:szCs w:val="24"/>
          <w:lang w:val="pt-BR"/>
        </w:rPr>
        <w:t xml:space="preserve"> 7. 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02C1160B" w14:textId="77777777" w:rsidR="0019012A" w:rsidRPr="00D01E89" w:rsidRDefault="00895CA3">
      <w:pPr>
        <w:pStyle w:val="ListParagraph"/>
        <w:numPr>
          <w:ilvl w:val="0"/>
          <w:numId w:val="23"/>
        </w:numPr>
        <w:tabs>
          <w:tab w:val="left" w:pos="851"/>
        </w:tabs>
        <w:spacing w:before="240" w:after="0" w:line="312" w:lineRule="auto"/>
        <w:ind w:hanging="851"/>
        <w:jc w:val="both"/>
        <w:rPr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Foi notado que </w:t>
      </w:r>
      <w:r w:rsidR="0082249D" w:rsidRPr="00D01E89">
        <w:rPr>
          <w:rFonts w:ascii="Arial" w:hAnsi="Arial" w:cs="Arial"/>
          <w:sz w:val="24"/>
          <w:szCs w:val="24"/>
          <w:lang w:val="pt-BR"/>
        </w:rPr>
        <w:t xml:space="preserve">a </w:t>
      </w:r>
      <w:r w:rsidR="00CC503C" w:rsidRPr="00D01E89">
        <w:rPr>
          <w:rFonts w:ascii="Arial" w:hAnsi="Arial" w:cs="Arial"/>
          <w:sz w:val="24"/>
          <w:szCs w:val="24"/>
          <w:lang w:val="pt-BR"/>
        </w:rPr>
        <w:t xml:space="preserve">depuração </w:t>
      </w:r>
      <w:r w:rsidR="00256EE5" w:rsidRPr="00D01E89">
        <w:rPr>
          <w:rFonts w:ascii="Arial" w:hAnsi="Arial" w:cs="Arial"/>
          <w:sz w:val="24"/>
          <w:szCs w:val="24"/>
          <w:lang w:val="pt-BR"/>
        </w:rPr>
        <w:t xml:space="preserve">jurídica </w:t>
      </w:r>
      <w:r w:rsidR="00CC503C" w:rsidRPr="00D01E89">
        <w:rPr>
          <w:rFonts w:ascii="Arial" w:hAnsi="Arial" w:cs="Arial"/>
          <w:sz w:val="24"/>
          <w:szCs w:val="24"/>
          <w:lang w:val="pt-BR"/>
        </w:rPr>
        <w:t xml:space="preserve">ou a </w:t>
      </w:r>
      <w:r w:rsidR="00D322B4" w:rsidRPr="00D01E89">
        <w:rPr>
          <w:rFonts w:ascii="Arial" w:hAnsi="Arial" w:cs="Arial"/>
          <w:sz w:val="24"/>
          <w:szCs w:val="24"/>
          <w:lang w:val="pt-BR"/>
        </w:rPr>
        <w:t xml:space="preserve">aprovação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dos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 finais </w:t>
      </w:r>
      <w:r w:rsidR="00A11D1D" w:rsidRPr="00D01E89">
        <w:rPr>
          <w:rFonts w:ascii="Arial" w:hAnsi="Arial" w:cs="Arial"/>
          <w:sz w:val="24"/>
          <w:szCs w:val="24"/>
          <w:lang w:val="pt-BR"/>
        </w:rPr>
        <w:t xml:space="preserve">pelos Ministros da Justiça </w:t>
      </w:r>
      <w:r w:rsidR="0058050F" w:rsidRPr="00D01E89">
        <w:rPr>
          <w:rFonts w:ascii="Arial" w:hAnsi="Arial" w:cs="Arial"/>
          <w:sz w:val="24"/>
          <w:szCs w:val="24"/>
          <w:lang w:val="pt-BR"/>
        </w:rPr>
        <w:t xml:space="preserve">e </w:t>
      </w:r>
      <w:r w:rsidR="00A11D1D" w:rsidRPr="00D01E89">
        <w:rPr>
          <w:rFonts w:ascii="Arial" w:hAnsi="Arial" w:cs="Arial"/>
          <w:sz w:val="24"/>
          <w:szCs w:val="24"/>
          <w:lang w:val="pt-BR"/>
        </w:rPr>
        <w:t xml:space="preserve">pelos Procuradores-Gerais </w:t>
      </w:r>
      <w:r w:rsidR="00CC503C" w:rsidRPr="00D01E89">
        <w:rPr>
          <w:rFonts w:ascii="Arial" w:hAnsi="Arial" w:cs="Arial"/>
          <w:sz w:val="24"/>
          <w:szCs w:val="24"/>
          <w:lang w:val="pt-BR"/>
        </w:rPr>
        <w:t xml:space="preserve">seria efectuada depois de </w:t>
      </w:r>
      <w:r w:rsidR="004C6578">
        <w:rPr>
          <w:rFonts w:ascii="Arial" w:hAnsi="Arial" w:cs="Arial"/>
          <w:sz w:val="24"/>
          <w:szCs w:val="24"/>
          <w:lang w:val="pt-BR"/>
        </w:rPr>
        <w:t>a</w:t>
      </w:r>
      <w:r w:rsidR="00090F4D" w:rsidRPr="00D01E89">
        <w:rPr>
          <w:rFonts w:ascii="Arial" w:hAnsi="Arial" w:cs="Arial"/>
          <w:sz w:val="24"/>
          <w:szCs w:val="24"/>
          <w:lang w:val="pt-BR"/>
        </w:rPr>
        <w:t xml:space="preserve"> CMT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ter aprovado </w:t>
      </w:r>
      <w:r w:rsidR="00090F4D" w:rsidRPr="00D01E89">
        <w:rPr>
          <w:rFonts w:ascii="Arial" w:hAnsi="Arial" w:cs="Arial"/>
          <w:sz w:val="24"/>
          <w:szCs w:val="24"/>
          <w:lang w:val="pt-BR"/>
        </w:rPr>
        <w:t xml:space="preserve">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090F4D" w:rsidRPr="00D01E89">
        <w:rPr>
          <w:rFonts w:ascii="Arial" w:hAnsi="Arial" w:cs="Arial"/>
          <w:sz w:val="24"/>
          <w:szCs w:val="24"/>
          <w:lang w:val="pt-BR"/>
        </w:rPr>
        <w:t xml:space="preserve"> e, assim, concluído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as negociações </w:t>
      </w:r>
      <w:r w:rsidR="000F1764" w:rsidRPr="00D01E89">
        <w:rPr>
          <w:rFonts w:ascii="Arial" w:hAnsi="Arial" w:cs="Arial"/>
          <w:sz w:val="24"/>
          <w:szCs w:val="24"/>
          <w:lang w:val="pt-BR"/>
        </w:rPr>
        <w:t>técnicas</w:t>
      </w:r>
      <w:r w:rsidR="004E363A" w:rsidRPr="00D01E89">
        <w:rPr>
          <w:rFonts w:ascii="Arial" w:hAnsi="Arial" w:cs="Arial"/>
          <w:sz w:val="24"/>
          <w:szCs w:val="24"/>
          <w:lang w:val="pt-BR"/>
        </w:rPr>
        <w:t xml:space="preserve">. </w:t>
      </w:r>
      <w:r w:rsidR="000F1764" w:rsidRPr="00D01E89">
        <w:rPr>
          <w:rFonts w:ascii="Arial" w:hAnsi="Arial" w:cs="Arial"/>
          <w:sz w:val="24"/>
          <w:szCs w:val="24"/>
          <w:lang w:val="pt-BR"/>
        </w:rPr>
        <w:t xml:space="preserve">Por conseguinte, 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a</w:t>
      </w:r>
      <w:r w:rsidR="000F1764" w:rsidRPr="00D01E89">
        <w:rPr>
          <w:rFonts w:ascii="Arial" w:hAnsi="Arial" w:cs="Arial"/>
          <w:sz w:val="24"/>
          <w:szCs w:val="24"/>
          <w:lang w:val="pt-BR"/>
        </w:rPr>
        <w:t xml:space="preserve"> CMT recomendaria o texto final ao Comité dos Ministros da Justiça e dos Procuradores-Gerais </w:t>
      </w:r>
      <w:r w:rsidR="001B40C1" w:rsidRPr="00D01E89">
        <w:rPr>
          <w:rFonts w:ascii="Arial" w:hAnsi="Arial" w:cs="Arial"/>
          <w:sz w:val="24"/>
          <w:szCs w:val="24"/>
          <w:lang w:val="pt-BR"/>
        </w:rPr>
        <w:t xml:space="preserve">para aprovação </w:t>
      </w:r>
      <w:r w:rsidR="00DF5B95" w:rsidRPr="00D01E89">
        <w:rPr>
          <w:rFonts w:ascii="Arial" w:hAnsi="Arial" w:cs="Arial"/>
          <w:sz w:val="24"/>
          <w:szCs w:val="24"/>
          <w:lang w:val="pt-BR"/>
        </w:rPr>
        <w:t xml:space="preserve">jurídica, que poderia reenviar o </w:t>
      </w:r>
      <w:r w:rsidR="001F0F57" w:rsidRPr="00D01E89">
        <w:rPr>
          <w:rFonts w:ascii="Arial" w:hAnsi="Arial" w:cs="Arial"/>
          <w:sz w:val="24"/>
          <w:szCs w:val="24"/>
          <w:lang w:val="pt-BR"/>
        </w:rPr>
        <w:t xml:space="preserve">texto </w:t>
      </w:r>
      <w:r w:rsidR="004C6578">
        <w:rPr>
          <w:rFonts w:ascii="Arial" w:hAnsi="Arial" w:cs="Arial"/>
          <w:sz w:val="24"/>
          <w:szCs w:val="24"/>
          <w:lang w:val="pt-BR"/>
        </w:rPr>
        <w:t>à</w:t>
      </w:r>
      <w:r w:rsidR="001F0F57" w:rsidRPr="00D01E89">
        <w:rPr>
          <w:rFonts w:ascii="Arial" w:hAnsi="Arial" w:cs="Arial"/>
          <w:sz w:val="24"/>
          <w:szCs w:val="24"/>
          <w:lang w:val="pt-BR"/>
        </w:rPr>
        <w:t xml:space="preserve"> CMT para adoção final, salientando quaisquer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questões </w:t>
      </w:r>
      <w:r w:rsidR="00355FCA" w:rsidRPr="00D01E89">
        <w:rPr>
          <w:rFonts w:ascii="Arial" w:hAnsi="Arial" w:cs="Arial"/>
          <w:sz w:val="24"/>
          <w:szCs w:val="24"/>
          <w:lang w:val="pt-BR"/>
        </w:rPr>
        <w:t>que exigissem a atenção d</w:t>
      </w:r>
      <w:r w:rsidR="004C6578">
        <w:rPr>
          <w:rFonts w:ascii="Arial" w:hAnsi="Arial" w:cs="Arial"/>
          <w:sz w:val="24"/>
          <w:szCs w:val="24"/>
          <w:lang w:val="pt-BR"/>
        </w:rPr>
        <w:t>a</w:t>
      </w:r>
      <w:r w:rsidR="00355FCA" w:rsidRPr="00D01E89">
        <w:rPr>
          <w:rFonts w:ascii="Arial" w:hAnsi="Arial" w:cs="Arial"/>
          <w:sz w:val="24"/>
          <w:szCs w:val="24"/>
          <w:lang w:val="pt-BR"/>
        </w:rPr>
        <w:t xml:space="preserve"> CMT. </w:t>
      </w:r>
    </w:p>
    <w:p w14:paraId="44774857" w14:textId="77777777" w:rsidR="0019012A" w:rsidRPr="00D01E89" w:rsidRDefault="00895CA3">
      <w:pPr>
        <w:pStyle w:val="ListParagraph"/>
        <w:numPr>
          <w:ilvl w:val="0"/>
          <w:numId w:val="23"/>
        </w:numPr>
        <w:shd w:val="clear" w:color="auto" w:fill="D9D9D9" w:themeFill="background1" w:themeFillShade="D9"/>
        <w:tabs>
          <w:tab w:val="left" w:pos="851"/>
        </w:tabs>
        <w:spacing w:before="240" w:after="0" w:line="312" w:lineRule="auto"/>
        <w:ind w:left="1440" w:hanging="720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Conclusão 9: </w:t>
      </w:r>
      <w:r w:rsidR="00F62A89" w:rsidRPr="00D01E89">
        <w:rPr>
          <w:rFonts w:ascii="Arial" w:hAnsi="Arial" w:cs="Arial"/>
          <w:sz w:val="24"/>
          <w:szCs w:val="24"/>
          <w:u w:val="single"/>
          <w:lang w:val="pt-BR"/>
        </w:rPr>
        <w:t>Estruturas e etapas de negociação [</w:t>
      </w:r>
      <w:r w:rsidR="001C3385" w:rsidRPr="00D01E89">
        <w:rPr>
          <w:rFonts w:ascii="Arial" w:hAnsi="Arial" w:cs="Arial"/>
          <w:sz w:val="24"/>
          <w:szCs w:val="24"/>
          <w:u w:val="single"/>
          <w:lang w:val="pt-BR"/>
        </w:rPr>
        <w:t>Secção 7]</w:t>
      </w:r>
    </w:p>
    <w:p w14:paraId="2F1EFFC1" w14:textId="77777777" w:rsidR="0019012A" w:rsidRPr="00D01E89" w:rsidRDefault="00895CA3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2160"/>
        </w:tabs>
        <w:spacing w:before="240" w:after="0" w:line="312" w:lineRule="auto"/>
        <w:ind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Substituir </w:t>
      </w:r>
      <w:r w:rsidR="00B36EAF" w:rsidRPr="00D01E89">
        <w:rPr>
          <w:rFonts w:ascii="Arial" w:hAnsi="Arial" w:cs="Arial"/>
          <w:sz w:val="24"/>
          <w:szCs w:val="24"/>
          <w:lang w:val="pt-BR"/>
        </w:rPr>
        <w:t xml:space="preserve">as palavras "... </w:t>
      </w:r>
      <w:r w:rsidR="00B36EAF" w:rsidRPr="00D01E89">
        <w:rPr>
          <w:rFonts w:ascii="Arial" w:hAnsi="Arial" w:cs="Arial"/>
          <w:i/>
          <w:iCs/>
          <w:sz w:val="24"/>
          <w:szCs w:val="24"/>
          <w:lang w:val="pt-BR"/>
        </w:rPr>
        <w:t>para manifestar interesse ...</w:t>
      </w:r>
      <w:r w:rsidR="00B36EAF" w:rsidRPr="00D01E89">
        <w:rPr>
          <w:rFonts w:ascii="Arial" w:hAnsi="Arial" w:cs="Arial"/>
          <w:sz w:val="24"/>
          <w:szCs w:val="24"/>
          <w:lang w:val="pt-BR"/>
        </w:rPr>
        <w:t xml:space="preserve">" pelas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palavras </w:t>
      </w:r>
      <w:r w:rsidR="008F41B1" w:rsidRPr="00D01E89">
        <w:rPr>
          <w:rFonts w:ascii="Arial" w:hAnsi="Arial" w:cs="Arial"/>
          <w:sz w:val="24"/>
          <w:szCs w:val="24"/>
          <w:lang w:val="pt-BR"/>
        </w:rPr>
        <w:t xml:space="preserve">"... </w:t>
      </w:r>
      <w:r w:rsidR="008F41B1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para </w:t>
      </w:r>
      <w:r w:rsidR="00B36EAF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fornecer contributos </w:t>
      </w:r>
      <w:r w:rsidR="00B36EAF" w:rsidRPr="00D01E89">
        <w:rPr>
          <w:rFonts w:ascii="Arial" w:hAnsi="Arial" w:cs="Arial"/>
          <w:sz w:val="24"/>
          <w:szCs w:val="24"/>
          <w:lang w:val="pt-BR"/>
        </w:rPr>
        <w:t xml:space="preserve">..." na alínea a) do n.º 71, </w:t>
      </w:r>
    </w:p>
    <w:p w14:paraId="53464C41" w14:textId="77777777" w:rsidR="0019012A" w:rsidRPr="00D01E89" w:rsidRDefault="00895CA3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710"/>
          <w:tab w:val="left" w:pos="2160"/>
        </w:tabs>
        <w:spacing w:before="240" w:after="0" w:line="312" w:lineRule="auto"/>
        <w:ind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Considerar ainda </w:t>
      </w:r>
      <w:r w:rsidR="00FE791A" w:rsidRPr="00D01E89">
        <w:rPr>
          <w:rFonts w:ascii="Arial" w:hAnsi="Arial" w:cs="Arial"/>
          <w:sz w:val="24"/>
          <w:szCs w:val="24"/>
          <w:lang w:val="pt-BR"/>
        </w:rPr>
        <w:t xml:space="preserve">duas </w:t>
      </w:r>
      <w:r w:rsidR="00A13B68" w:rsidRPr="00D01E89">
        <w:rPr>
          <w:rFonts w:ascii="Arial" w:hAnsi="Arial" w:cs="Arial"/>
          <w:sz w:val="24"/>
          <w:szCs w:val="24"/>
          <w:lang w:val="pt-BR"/>
        </w:rPr>
        <w:t xml:space="preserve">propostas </w:t>
      </w:r>
      <w:r w:rsidR="00FE791A" w:rsidRPr="00D01E89">
        <w:rPr>
          <w:rFonts w:ascii="Arial" w:hAnsi="Arial" w:cs="Arial"/>
          <w:sz w:val="24"/>
          <w:szCs w:val="24"/>
          <w:lang w:val="pt-BR"/>
        </w:rPr>
        <w:t xml:space="preserve">para o </w:t>
      </w:r>
      <w:r w:rsidR="00D83D87" w:rsidRPr="00D01E89">
        <w:rPr>
          <w:rFonts w:ascii="Arial" w:hAnsi="Arial" w:cs="Arial"/>
          <w:sz w:val="24"/>
          <w:szCs w:val="24"/>
          <w:lang w:val="pt-BR"/>
        </w:rPr>
        <w:t>n.º 7.3</w:t>
      </w:r>
      <w:r w:rsidR="0068426B" w:rsidRPr="00D01E89">
        <w:rPr>
          <w:rFonts w:ascii="Arial" w:hAnsi="Arial" w:cs="Arial"/>
          <w:sz w:val="24"/>
          <w:szCs w:val="24"/>
          <w:lang w:val="pt-BR"/>
        </w:rPr>
        <w:t xml:space="preserve">, com a </w:t>
      </w:r>
      <w:r w:rsidR="009867B2" w:rsidRPr="00D01E89">
        <w:rPr>
          <w:rFonts w:ascii="Arial" w:hAnsi="Arial" w:cs="Arial"/>
          <w:sz w:val="24"/>
          <w:szCs w:val="24"/>
          <w:lang w:val="pt-BR"/>
        </w:rPr>
        <w:t xml:space="preserve">seguinte </w:t>
      </w:r>
      <w:r w:rsidR="00D83D87" w:rsidRPr="00D01E89">
        <w:rPr>
          <w:rFonts w:ascii="Arial" w:hAnsi="Arial" w:cs="Arial"/>
          <w:sz w:val="24"/>
          <w:szCs w:val="24"/>
          <w:lang w:val="pt-BR"/>
        </w:rPr>
        <w:t xml:space="preserve">redação </w:t>
      </w:r>
    </w:p>
    <w:p w14:paraId="4AE83BD8" w14:textId="77777777" w:rsidR="0019012A" w:rsidRPr="00D01E89" w:rsidRDefault="00A13B68">
      <w:pPr>
        <w:pStyle w:val="ListParagraph"/>
        <w:numPr>
          <w:ilvl w:val="0"/>
          <w:numId w:val="29"/>
        </w:numPr>
        <w:shd w:val="clear" w:color="auto" w:fill="D9D9D9" w:themeFill="background1" w:themeFillShade="D9"/>
        <w:tabs>
          <w:tab w:val="left" w:pos="1440"/>
          <w:tab w:val="left" w:pos="2160"/>
        </w:tabs>
        <w:spacing w:before="240" w:after="0" w:line="312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"Os </w:t>
      </w:r>
      <w:r w:rsidR="00996827">
        <w:rPr>
          <w:rFonts w:ascii="Arial" w:hAnsi="Arial" w:cs="Arial"/>
          <w:i/>
          <w:iCs/>
          <w:sz w:val="24"/>
          <w:szCs w:val="24"/>
          <w:lang w:val="pt-BR"/>
        </w:rPr>
        <w:t>MRA</w:t>
      </w:r>
      <w:r w:rsidR="0068426B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relativos aos serviços profissionais adoptados pela CMT serão anexados ao Protocolo e farão parte integrante do mesmo, em conformidade com o disposto no artigo 26º do Protocolo, tal como recomendado/decidido pelo TNF-Serviços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>"</w:t>
      </w:r>
      <w:r w:rsidR="008E12FD" w:rsidRPr="00D01E89">
        <w:rPr>
          <w:rFonts w:ascii="Arial" w:hAnsi="Arial" w:cs="Arial"/>
          <w:sz w:val="24"/>
          <w:szCs w:val="24"/>
          <w:lang w:val="pt-BR"/>
        </w:rPr>
        <w:t>; ou</w:t>
      </w:r>
    </w:p>
    <w:p w14:paraId="4A4CAC54" w14:textId="77777777" w:rsidR="0019012A" w:rsidRPr="00D01E89" w:rsidRDefault="00895CA3">
      <w:pPr>
        <w:pStyle w:val="ListParagraph"/>
        <w:numPr>
          <w:ilvl w:val="0"/>
          <w:numId w:val="29"/>
        </w:numPr>
        <w:shd w:val="clear" w:color="auto" w:fill="D9D9D9" w:themeFill="background1" w:themeFillShade="D9"/>
        <w:tabs>
          <w:tab w:val="left" w:pos="900"/>
          <w:tab w:val="left" w:pos="2160"/>
        </w:tabs>
        <w:spacing w:before="240" w:after="0" w:line="312" w:lineRule="auto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i/>
          <w:iCs/>
          <w:sz w:val="24"/>
          <w:szCs w:val="24"/>
          <w:lang w:val="pt-BR"/>
        </w:rPr>
        <w:t>"A ado</w:t>
      </w:r>
      <w:r w:rsidR="004C6578">
        <w:rPr>
          <w:rFonts w:ascii="Arial" w:hAnsi="Arial" w:cs="Arial"/>
          <w:i/>
          <w:iCs/>
          <w:sz w:val="24"/>
          <w:szCs w:val="24"/>
          <w:lang w:val="pt-BR"/>
        </w:rPr>
        <w:t>p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ção dos </w:t>
      </w:r>
      <w:r w:rsidR="00996827">
        <w:rPr>
          <w:rFonts w:ascii="Arial" w:hAnsi="Arial" w:cs="Arial"/>
          <w:i/>
          <w:iCs/>
          <w:sz w:val="24"/>
          <w:szCs w:val="24"/>
          <w:lang w:val="pt-BR"/>
        </w:rPr>
        <w:t>MRA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será decidida pelos serviços do TNF, através de uma recomendação </w:t>
      </w:r>
      <w:r w:rsidR="004C6578">
        <w:rPr>
          <w:rFonts w:ascii="Arial" w:hAnsi="Arial" w:cs="Arial"/>
          <w:i/>
          <w:iCs/>
          <w:sz w:val="24"/>
          <w:szCs w:val="24"/>
          <w:lang w:val="pt-BR"/>
        </w:rPr>
        <w:t>à</w:t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CMT</w:t>
      </w:r>
      <w:r w:rsidRPr="00D01E89">
        <w:rPr>
          <w:rFonts w:ascii="Arial" w:hAnsi="Arial" w:cs="Arial"/>
          <w:sz w:val="24"/>
          <w:szCs w:val="24"/>
          <w:lang w:val="pt-BR"/>
        </w:rPr>
        <w:t>".</w:t>
      </w:r>
    </w:p>
    <w:p w14:paraId="7A7BEAB4" w14:textId="77777777" w:rsidR="0019012A" w:rsidRPr="00D01E89" w:rsidRDefault="009867B2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710"/>
          <w:tab w:val="left" w:pos="2160"/>
        </w:tabs>
        <w:spacing w:before="240" w:after="0" w:line="312" w:lineRule="auto"/>
        <w:ind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Aditar um novo </w:t>
      </w:r>
      <w:r w:rsidR="00112631" w:rsidRPr="00D01E89">
        <w:rPr>
          <w:rFonts w:ascii="Arial" w:hAnsi="Arial" w:cs="Arial"/>
          <w:sz w:val="24"/>
          <w:szCs w:val="24"/>
          <w:lang w:val="pt-BR"/>
        </w:rPr>
        <w:t xml:space="preserve">ponto 7.4 </w:t>
      </w:r>
      <w:r w:rsidR="00895CA3" w:rsidRPr="00D01E89">
        <w:rPr>
          <w:rFonts w:ascii="Arial" w:hAnsi="Arial" w:cs="Arial"/>
          <w:sz w:val="24"/>
          <w:szCs w:val="24"/>
          <w:lang w:val="pt-BR"/>
        </w:rPr>
        <w:t xml:space="preserve">com </w:t>
      </w:r>
      <w:r w:rsidR="00112631" w:rsidRPr="00D01E89">
        <w:rPr>
          <w:rFonts w:ascii="Arial" w:hAnsi="Arial" w:cs="Arial"/>
          <w:sz w:val="24"/>
          <w:szCs w:val="24"/>
          <w:lang w:val="pt-BR"/>
        </w:rPr>
        <w:t xml:space="preserve">a </w:t>
      </w:r>
      <w:r w:rsidR="0005293F" w:rsidRPr="00D01E89">
        <w:rPr>
          <w:rFonts w:ascii="Arial" w:hAnsi="Arial" w:cs="Arial"/>
          <w:sz w:val="24"/>
          <w:szCs w:val="24"/>
          <w:lang w:val="pt-BR"/>
        </w:rPr>
        <w:t>seguinte</w:t>
      </w:r>
      <w:r w:rsidR="00112631" w:rsidRPr="00D01E89">
        <w:rPr>
          <w:rFonts w:ascii="Arial" w:hAnsi="Arial" w:cs="Arial"/>
          <w:sz w:val="24"/>
          <w:szCs w:val="24"/>
          <w:lang w:val="pt-BR"/>
        </w:rPr>
        <w:t xml:space="preserve"> redação  </w:t>
      </w:r>
    </w:p>
    <w:p w14:paraId="7EE7F392" w14:textId="77777777" w:rsidR="0019012A" w:rsidRPr="00D01E89" w:rsidRDefault="00895CA3">
      <w:pPr>
        <w:shd w:val="clear" w:color="auto" w:fill="D9D9D9" w:themeFill="background1" w:themeFillShade="D9"/>
        <w:tabs>
          <w:tab w:val="left" w:pos="1710"/>
          <w:tab w:val="left" w:pos="2160"/>
        </w:tabs>
        <w:spacing w:before="240" w:after="0" w:line="312" w:lineRule="auto"/>
        <w:ind w:left="2160"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i/>
          <w:iCs/>
          <w:sz w:val="24"/>
          <w:szCs w:val="24"/>
          <w:lang w:val="pt-BR"/>
        </w:rPr>
        <w:tab/>
      </w:r>
      <w:r w:rsidRPr="00D01E89">
        <w:rPr>
          <w:rFonts w:ascii="Arial" w:hAnsi="Arial" w:cs="Arial"/>
          <w:i/>
          <w:iCs/>
          <w:sz w:val="24"/>
          <w:szCs w:val="24"/>
          <w:lang w:val="pt-BR"/>
        </w:rPr>
        <w:tab/>
      </w:r>
      <w:r w:rsidR="0005293F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O </w:t>
      </w:r>
      <w:r w:rsidR="00112631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texto final dos </w:t>
      </w:r>
      <w:r w:rsidR="00996827">
        <w:rPr>
          <w:rFonts w:ascii="Arial" w:hAnsi="Arial" w:cs="Arial"/>
          <w:i/>
          <w:iCs/>
          <w:sz w:val="24"/>
          <w:szCs w:val="24"/>
          <w:lang w:val="pt-BR"/>
        </w:rPr>
        <w:t>MRA</w:t>
      </w:r>
      <w:r w:rsidR="00112631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adoptados pelo CMT será recomendado para efeitos de depuração/apuramento jurídico pelo Comité dos Ministros da Justiça e dos Procuradores-Gerais, que o remeterá ao </w:t>
      </w:r>
      <w:r w:rsidR="00EF2F1E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CMT para </w:t>
      </w:r>
      <w:r w:rsidR="00EF4EC7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adoção </w:t>
      </w:r>
      <w:r w:rsidR="00112631" w:rsidRPr="00D01E89">
        <w:rPr>
          <w:rFonts w:ascii="Arial" w:hAnsi="Arial" w:cs="Arial"/>
          <w:i/>
          <w:iCs/>
          <w:sz w:val="24"/>
          <w:szCs w:val="24"/>
          <w:lang w:val="pt-BR"/>
        </w:rPr>
        <w:t>final</w:t>
      </w:r>
      <w:r w:rsidR="00EF4EC7" w:rsidRPr="00D01E89">
        <w:rPr>
          <w:rFonts w:ascii="Arial" w:hAnsi="Arial" w:cs="Arial"/>
          <w:i/>
          <w:iCs/>
          <w:sz w:val="24"/>
          <w:szCs w:val="24"/>
          <w:lang w:val="pt-BR"/>
        </w:rPr>
        <w:t>"</w:t>
      </w:r>
      <w:r w:rsidR="00225D59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. </w:t>
      </w:r>
    </w:p>
    <w:p w14:paraId="237835BB" w14:textId="77777777" w:rsidR="0019012A" w:rsidRPr="00D01E89" w:rsidRDefault="00C05C68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710"/>
          <w:tab w:val="left" w:pos="2160"/>
        </w:tabs>
        <w:spacing w:before="240" w:after="0" w:line="312" w:lineRule="auto"/>
        <w:ind w:hanging="54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lastRenderedPageBreak/>
        <w:t xml:space="preserve">Colocar </w:t>
      </w:r>
      <w:r w:rsidR="00BB32F8" w:rsidRPr="00D01E89">
        <w:rPr>
          <w:rFonts w:ascii="Arial" w:hAnsi="Arial" w:cs="Arial"/>
          <w:sz w:val="24"/>
          <w:szCs w:val="24"/>
          <w:lang w:val="pt-BR"/>
        </w:rPr>
        <w:t xml:space="preserve">os </w:t>
      </w:r>
      <w:r w:rsidRPr="00D01E89">
        <w:rPr>
          <w:rFonts w:ascii="Arial" w:hAnsi="Arial" w:cs="Arial"/>
          <w:sz w:val="24"/>
          <w:szCs w:val="24"/>
          <w:lang w:val="pt-BR"/>
        </w:rPr>
        <w:t>textos</w:t>
      </w:r>
      <w:r w:rsidR="00BB32F8" w:rsidRPr="00D01E89">
        <w:rPr>
          <w:rFonts w:ascii="Arial" w:hAnsi="Arial" w:cs="Arial"/>
          <w:sz w:val="24"/>
          <w:szCs w:val="24"/>
          <w:lang w:val="pt-BR"/>
        </w:rPr>
        <w:t xml:space="preserve"> propostos para os pontos 7.3 e 7.4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à consideração </w:t>
      </w:r>
      <w:r w:rsidR="00D63BD7" w:rsidRPr="00D01E89">
        <w:rPr>
          <w:rFonts w:ascii="Arial" w:hAnsi="Arial" w:cs="Arial"/>
          <w:sz w:val="24"/>
          <w:szCs w:val="24"/>
          <w:lang w:val="pt-BR"/>
        </w:rPr>
        <w:t>dos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D63BD7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na próxima reunião </w:t>
      </w:r>
      <w:r w:rsidR="00082299" w:rsidRPr="00D01E89">
        <w:rPr>
          <w:rFonts w:ascii="Arial" w:hAnsi="Arial" w:cs="Arial"/>
          <w:sz w:val="24"/>
          <w:szCs w:val="24"/>
          <w:lang w:val="pt-BR"/>
        </w:rPr>
        <w:t>do TNF-Servi</w:t>
      </w:r>
      <w:r w:rsidR="004C6578">
        <w:rPr>
          <w:rFonts w:ascii="Arial" w:hAnsi="Arial" w:cs="Arial"/>
          <w:sz w:val="24"/>
          <w:szCs w:val="24"/>
          <w:lang w:val="pt-BR"/>
        </w:rPr>
        <w:t>ço</w:t>
      </w:r>
      <w:r w:rsidR="00082299" w:rsidRPr="00D01E89">
        <w:rPr>
          <w:rFonts w:ascii="Arial" w:hAnsi="Arial" w:cs="Arial"/>
          <w:sz w:val="24"/>
          <w:szCs w:val="24"/>
          <w:lang w:val="pt-BR"/>
        </w:rPr>
        <w:t>s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55B20CFE" w14:textId="77777777" w:rsidR="008E12FD" w:rsidRPr="00D01E89" w:rsidRDefault="008E12FD" w:rsidP="008E12FD">
      <w:pPr>
        <w:pStyle w:val="ListParagraph"/>
        <w:tabs>
          <w:tab w:val="left" w:pos="1710"/>
          <w:tab w:val="left" w:pos="2160"/>
        </w:tabs>
        <w:spacing w:before="240" w:after="0" w:line="312" w:lineRule="auto"/>
        <w:ind w:left="2160"/>
        <w:jc w:val="both"/>
        <w:rPr>
          <w:rFonts w:ascii="Arial" w:hAnsi="Arial" w:cs="Arial"/>
          <w:sz w:val="24"/>
          <w:szCs w:val="24"/>
          <w:lang w:val="pt-BR"/>
        </w:rPr>
      </w:pPr>
    </w:p>
    <w:p w14:paraId="2AA93FBF" w14:textId="77777777" w:rsidR="0019012A" w:rsidRDefault="00895CA3">
      <w:pPr>
        <w:pStyle w:val="ListParagraph"/>
        <w:numPr>
          <w:ilvl w:val="2"/>
          <w:numId w:val="1"/>
        </w:numPr>
        <w:spacing w:after="0" w:line="312" w:lineRule="auto"/>
        <w:ind w:hanging="1224"/>
        <w:jc w:val="both"/>
        <w:rPr>
          <w:rFonts w:ascii="Arial Bold" w:hAnsi="Arial Bold" w:cs="Arial"/>
          <w:b/>
          <w:bCs/>
          <w:caps/>
          <w:sz w:val="24"/>
          <w:szCs w:val="24"/>
        </w:rPr>
      </w:pPr>
      <w:r w:rsidRPr="00F101A0">
        <w:rPr>
          <w:rFonts w:ascii="Arial Bold" w:hAnsi="Arial Bold" w:cs="Arial"/>
          <w:b/>
          <w:bCs/>
          <w:caps/>
          <w:sz w:val="24"/>
          <w:szCs w:val="24"/>
        </w:rPr>
        <w:t>Partes nos ARM [Secção 8]</w:t>
      </w:r>
    </w:p>
    <w:p w14:paraId="39FF4333" w14:textId="77777777" w:rsidR="008E12FD" w:rsidRPr="00F101A0" w:rsidRDefault="008E12FD" w:rsidP="008E12FD">
      <w:pPr>
        <w:pStyle w:val="ListParagraph"/>
        <w:spacing w:after="0" w:line="312" w:lineRule="auto"/>
        <w:ind w:left="1224"/>
        <w:jc w:val="both"/>
        <w:rPr>
          <w:rFonts w:ascii="Arial Bold" w:hAnsi="Arial Bold" w:cs="Arial"/>
          <w:b/>
          <w:bCs/>
          <w:caps/>
          <w:sz w:val="24"/>
          <w:szCs w:val="24"/>
        </w:rPr>
      </w:pPr>
    </w:p>
    <w:p w14:paraId="10C1D9F1" w14:textId="77777777" w:rsidR="0019012A" w:rsidRPr="00D01E89" w:rsidRDefault="00895CA3">
      <w:pPr>
        <w:pStyle w:val="ListParagraph"/>
        <w:numPr>
          <w:ilvl w:val="0"/>
          <w:numId w:val="25"/>
        </w:numPr>
        <w:spacing w:after="0" w:line="312" w:lineRule="auto"/>
        <w:ind w:hanging="76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Um </w:t>
      </w:r>
      <w:r w:rsidR="002C4E79" w:rsidRPr="00D01E89">
        <w:rPr>
          <w:rFonts w:ascii="Arial" w:hAnsi="Arial" w:cs="Arial"/>
          <w:sz w:val="24"/>
          <w:szCs w:val="24"/>
          <w:lang w:val="pt-BR"/>
        </w:rPr>
        <w:t>Estado-Membro</w:t>
      </w:r>
      <w:r w:rsidR="0033367D" w:rsidRPr="00D01E89">
        <w:rPr>
          <w:rFonts w:ascii="Arial" w:hAnsi="Arial" w:cs="Arial"/>
          <w:sz w:val="24"/>
          <w:szCs w:val="24"/>
          <w:lang w:val="pt-BR"/>
        </w:rPr>
        <w:t xml:space="preserve">, a Zâmbia, propôs um </w:t>
      </w:r>
      <w:r w:rsidR="00324063" w:rsidRPr="00D01E89">
        <w:rPr>
          <w:rFonts w:ascii="Arial" w:hAnsi="Arial" w:cs="Arial"/>
          <w:sz w:val="24"/>
          <w:szCs w:val="24"/>
          <w:lang w:val="pt-BR"/>
        </w:rPr>
        <w:t xml:space="preserve">parágrafo </w:t>
      </w:r>
      <w:r w:rsidR="008E12FD" w:rsidRPr="00D01E89">
        <w:rPr>
          <w:rFonts w:ascii="Arial" w:hAnsi="Arial" w:cs="Arial"/>
          <w:sz w:val="24"/>
          <w:szCs w:val="24"/>
          <w:lang w:val="pt-BR"/>
        </w:rPr>
        <w:t xml:space="preserve">adicional </w:t>
      </w:r>
      <w:r w:rsidR="00324063" w:rsidRPr="00D01E89">
        <w:rPr>
          <w:rFonts w:ascii="Arial" w:hAnsi="Arial" w:cs="Arial"/>
          <w:sz w:val="24"/>
          <w:szCs w:val="24"/>
          <w:lang w:val="pt-BR"/>
        </w:rPr>
        <w:t xml:space="preserve">para clarificar a interface entre 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324063" w:rsidRPr="00D01E89">
        <w:rPr>
          <w:rFonts w:ascii="Arial" w:hAnsi="Arial" w:cs="Arial"/>
          <w:sz w:val="24"/>
          <w:szCs w:val="24"/>
          <w:lang w:val="pt-BR"/>
        </w:rPr>
        <w:t xml:space="preserve"> bilaterais existentes e 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324063" w:rsidRPr="00D01E89">
        <w:rPr>
          <w:rFonts w:ascii="Arial" w:hAnsi="Arial" w:cs="Arial"/>
          <w:sz w:val="24"/>
          <w:szCs w:val="24"/>
          <w:lang w:val="pt-BR"/>
        </w:rPr>
        <w:t xml:space="preserve"> regionais da SADC </w:t>
      </w:r>
      <w:r w:rsidR="0033367D" w:rsidRPr="00D01E89">
        <w:rPr>
          <w:rFonts w:ascii="Arial" w:hAnsi="Arial" w:cs="Arial"/>
          <w:sz w:val="24"/>
          <w:szCs w:val="24"/>
          <w:lang w:val="pt-BR"/>
        </w:rPr>
        <w:t>previstos</w:t>
      </w:r>
      <w:r w:rsidR="002C4E79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77D2A0EE" w14:textId="77777777" w:rsidR="0019012A" w:rsidRPr="00D01E89" w:rsidRDefault="00895CA3">
      <w:pPr>
        <w:pStyle w:val="ListParagraph"/>
        <w:numPr>
          <w:ilvl w:val="0"/>
          <w:numId w:val="25"/>
        </w:numPr>
        <w:spacing w:before="240"/>
        <w:ind w:hanging="851"/>
        <w:rPr>
          <w:rFonts w:ascii="Arial" w:hAnsi="Arial" w:cs="Arial"/>
          <w:sz w:val="24"/>
          <w:szCs w:val="24"/>
          <w:u w:val="single"/>
          <w:lang w:val="pt-BR"/>
        </w:rPr>
      </w:pPr>
      <w:r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Conclusão </w:t>
      </w:r>
      <w:r w:rsidR="00A76F96" w:rsidRPr="00D01E89">
        <w:rPr>
          <w:rFonts w:ascii="Arial" w:hAnsi="Arial" w:cs="Arial"/>
          <w:sz w:val="24"/>
          <w:szCs w:val="24"/>
          <w:u w:val="single"/>
          <w:lang w:val="pt-BR"/>
        </w:rPr>
        <w:t>10</w:t>
      </w:r>
      <w:r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: </w:t>
      </w:r>
      <w:r w:rsidR="00C23F93"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Partes nos </w:t>
      </w:r>
      <w:r w:rsidR="00996827">
        <w:rPr>
          <w:rFonts w:ascii="Arial" w:hAnsi="Arial" w:cs="Arial"/>
          <w:sz w:val="24"/>
          <w:szCs w:val="24"/>
          <w:u w:val="single"/>
          <w:lang w:val="pt-BR"/>
        </w:rPr>
        <w:t xml:space="preserve">MRA </w:t>
      </w:r>
      <w:r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[Secção </w:t>
      </w:r>
      <w:r w:rsidR="008D58F6" w:rsidRPr="00D01E89">
        <w:rPr>
          <w:rFonts w:ascii="Arial" w:hAnsi="Arial" w:cs="Arial"/>
          <w:sz w:val="24"/>
          <w:szCs w:val="24"/>
          <w:u w:val="single"/>
          <w:lang w:val="pt-BR"/>
        </w:rPr>
        <w:t>8</w:t>
      </w:r>
      <w:r w:rsidRPr="00D01E89">
        <w:rPr>
          <w:rFonts w:ascii="Arial" w:hAnsi="Arial" w:cs="Arial"/>
          <w:sz w:val="24"/>
          <w:szCs w:val="24"/>
          <w:u w:val="single"/>
          <w:lang w:val="pt-BR"/>
        </w:rPr>
        <w:t>]</w:t>
      </w:r>
    </w:p>
    <w:p w14:paraId="6674B502" w14:textId="77777777" w:rsidR="0019012A" w:rsidRPr="00D01E89" w:rsidRDefault="00895CA3">
      <w:pPr>
        <w:shd w:val="clear" w:color="auto" w:fill="D9D9D9" w:themeFill="background1" w:themeFillShade="D9"/>
        <w:spacing w:before="240" w:after="0" w:line="312" w:lineRule="auto"/>
        <w:ind w:left="153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A Zâmbia </w:t>
      </w:r>
      <w:r w:rsidR="008A72AC" w:rsidRPr="00D01E89">
        <w:rPr>
          <w:rFonts w:ascii="Arial" w:hAnsi="Arial" w:cs="Arial"/>
          <w:sz w:val="24"/>
          <w:szCs w:val="24"/>
          <w:lang w:val="pt-BR"/>
        </w:rPr>
        <w:t xml:space="preserve">apresentará uma proposta de </w:t>
      </w:r>
      <w:r w:rsidR="005E34CB" w:rsidRPr="00D01E89">
        <w:rPr>
          <w:rFonts w:ascii="Arial" w:hAnsi="Arial" w:cs="Arial"/>
          <w:sz w:val="24"/>
          <w:szCs w:val="24"/>
          <w:lang w:val="pt-BR"/>
        </w:rPr>
        <w:t xml:space="preserve">texto sobre a interface entre 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5E34CB" w:rsidRPr="00D01E89">
        <w:rPr>
          <w:rFonts w:ascii="Arial" w:hAnsi="Arial" w:cs="Arial"/>
          <w:sz w:val="24"/>
          <w:szCs w:val="24"/>
          <w:lang w:val="pt-BR"/>
        </w:rPr>
        <w:t xml:space="preserve"> bilaterais existentes e 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5E34CB" w:rsidRPr="00D01E89">
        <w:rPr>
          <w:rFonts w:ascii="Arial" w:hAnsi="Arial" w:cs="Arial"/>
          <w:sz w:val="24"/>
          <w:szCs w:val="24"/>
          <w:lang w:val="pt-BR"/>
        </w:rPr>
        <w:t xml:space="preserve"> regionais da SADC</w:t>
      </w:r>
      <w:r w:rsidR="008A72AC" w:rsidRPr="00D01E89">
        <w:rPr>
          <w:rFonts w:ascii="Arial" w:hAnsi="Arial" w:cs="Arial"/>
          <w:sz w:val="24"/>
          <w:szCs w:val="24"/>
          <w:lang w:val="pt-BR"/>
        </w:rPr>
        <w:t>, a ser analisada pelos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8A72AC" w:rsidRPr="00D01E89">
        <w:rPr>
          <w:rFonts w:ascii="Arial" w:hAnsi="Arial" w:cs="Arial"/>
          <w:sz w:val="24"/>
          <w:szCs w:val="24"/>
          <w:lang w:val="pt-BR"/>
        </w:rPr>
        <w:t xml:space="preserve">Membros na próxima reunião do </w:t>
      </w:r>
      <w:r w:rsidR="00F101A0" w:rsidRPr="00D01E89">
        <w:rPr>
          <w:rFonts w:ascii="Arial" w:hAnsi="Arial" w:cs="Arial"/>
          <w:sz w:val="24"/>
          <w:szCs w:val="24"/>
          <w:lang w:val="pt-BR"/>
        </w:rPr>
        <w:t>TNF-Servi</w:t>
      </w:r>
      <w:r w:rsidR="004C6578">
        <w:rPr>
          <w:rFonts w:ascii="Arial" w:hAnsi="Arial" w:cs="Arial"/>
          <w:sz w:val="24"/>
          <w:szCs w:val="24"/>
          <w:lang w:val="pt-BR"/>
        </w:rPr>
        <w:t>ço</w:t>
      </w:r>
      <w:r w:rsidR="00F101A0" w:rsidRPr="00D01E89">
        <w:rPr>
          <w:rFonts w:ascii="Arial" w:hAnsi="Arial" w:cs="Arial"/>
          <w:sz w:val="24"/>
          <w:szCs w:val="24"/>
          <w:lang w:val="pt-BR"/>
        </w:rPr>
        <w:t>s</w:t>
      </w:r>
      <w:r w:rsidR="002C4E79" w:rsidRPr="00D01E89">
        <w:rPr>
          <w:rFonts w:ascii="Arial" w:hAnsi="Arial" w:cs="Arial"/>
          <w:sz w:val="24"/>
          <w:szCs w:val="24"/>
          <w:lang w:val="pt-BR"/>
        </w:rPr>
        <w:t>.</w:t>
      </w:r>
    </w:p>
    <w:p w14:paraId="2650F2F5" w14:textId="77777777" w:rsidR="008E12FD" w:rsidRPr="00D01E89" w:rsidRDefault="00BF3361" w:rsidP="008E12FD">
      <w:pPr>
        <w:rPr>
          <w:rFonts w:ascii="Arial Bold" w:hAnsi="Arial Bold"/>
          <w:b/>
          <w:bCs/>
          <w:caps/>
          <w:lang w:val="pt-BR"/>
        </w:rPr>
      </w:pPr>
      <w:r w:rsidRPr="00D01E89">
        <w:rPr>
          <w:rFonts w:ascii="Arial Bold" w:hAnsi="Arial Bold"/>
          <w:b/>
          <w:bCs/>
          <w:caps/>
          <w:lang w:val="pt-BR"/>
        </w:rPr>
        <w:tab/>
      </w:r>
    </w:p>
    <w:p w14:paraId="0A8563B2" w14:textId="77777777" w:rsidR="0019012A" w:rsidRPr="00D01E89" w:rsidRDefault="00895CA3">
      <w:pPr>
        <w:pStyle w:val="ListParagraph"/>
        <w:numPr>
          <w:ilvl w:val="2"/>
          <w:numId w:val="1"/>
        </w:numPr>
        <w:spacing w:before="240" w:after="0" w:line="312" w:lineRule="auto"/>
        <w:ind w:hanging="1224"/>
        <w:jc w:val="both"/>
        <w:rPr>
          <w:rFonts w:ascii="Arial Bold" w:hAnsi="Arial Bold" w:cs="Arial"/>
          <w:b/>
          <w:bCs/>
          <w:caps/>
          <w:sz w:val="24"/>
          <w:szCs w:val="24"/>
          <w:lang w:val="pt-BR"/>
        </w:rPr>
      </w:pPr>
      <w:r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 xml:space="preserve">Estrutura de </w:t>
      </w:r>
      <w:r w:rsidR="00271D54"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 xml:space="preserve">um </w:t>
      </w:r>
      <w:r w:rsidR="00996827">
        <w:rPr>
          <w:rFonts w:ascii="Arial Bold" w:hAnsi="Arial Bold" w:cs="Arial"/>
          <w:b/>
          <w:bCs/>
          <w:caps/>
          <w:sz w:val="24"/>
          <w:szCs w:val="24"/>
          <w:lang w:val="pt-BR"/>
        </w:rPr>
        <w:t>MRA</w:t>
      </w:r>
      <w:r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 xml:space="preserve"> </w:t>
      </w:r>
      <w:r w:rsidR="00084379" w:rsidRPr="00D01E89">
        <w:rPr>
          <w:rFonts w:ascii="Arial Bold" w:hAnsi="Arial Bold" w:cs="Arial"/>
          <w:b/>
          <w:bCs/>
          <w:sz w:val="24"/>
          <w:szCs w:val="24"/>
          <w:lang w:val="pt-BR"/>
        </w:rPr>
        <w:t>[</w:t>
      </w:r>
      <w:r w:rsidR="00084379" w:rsidRPr="00D01E89">
        <w:rPr>
          <w:rFonts w:ascii="Arial Bold" w:hAnsi="Arial Bold" w:cs="Arial"/>
          <w:b/>
          <w:bCs/>
          <w:caps/>
          <w:sz w:val="24"/>
          <w:szCs w:val="24"/>
          <w:lang w:val="pt-BR"/>
        </w:rPr>
        <w:t>secção 9</w:t>
      </w:r>
      <w:r w:rsidR="00084379" w:rsidRPr="00D01E89">
        <w:rPr>
          <w:rFonts w:ascii="Arial Bold" w:hAnsi="Arial Bold" w:cs="Arial"/>
          <w:b/>
          <w:bCs/>
          <w:sz w:val="24"/>
          <w:szCs w:val="24"/>
          <w:lang w:val="pt-BR"/>
        </w:rPr>
        <w:t>]</w:t>
      </w:r>
    </w:p>
    <w:p w14:paraId="3A4E4A1A" w14:textId="77777777" w:rsidR="0019012A" w:rsidRPr="00D01E89" w:rsidRDefault="008646AA">
      <w:pPr>
        <w:pStyle w:val="ListParagraph"/>
        <w:numPr>
          <w:ilvl w:val="0"/>
          <w:numId w:val="27"/>
        </w:numPr>
        <w:spacing w:before="240" w:after="0" w:line="312" w:lineRule="auto"/>
        <w:ind w:hanging="76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>Ponto 9.</w:t>
      </w:r>
      <w:r w:rsidR="006831FB"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3 </w:t>
      </w:r>
      <w:r w:rsidR="008E12FD" w:rsidRPr="00D01E89">
        <w:rPr>
          <w:rFonts w:ascii="Arial" w:hAnsi="Arial" w:cs="Arial"/>
          <w:sz w:val="24"/>
          <w:szCs w:val="24"/>
          <w:lang w:val="pt-BR"/>
        </w:rPr>
        <w:t xml:space="preserve">- </w:t>
      </w:r>
      <w:r w:rsidR="00741749" w:rsidRPr="00D01E89">
        <w:rPr>
          <w:rFonts w:ascii="Arial" w:hAnsi="Arial" w:cs="Arial"/>
          <w:sz w:val="24"/>
          <w:szCs w:val="24"/>
          <w:lang w:val="pt-BR"/>
        </w:rPr>
        <w:t>Alguns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741749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BB5DAE" w:rsidRPr="00D01E89">
        <w:rPr>
          <w:rFonts w:ascii="Arial" w:hAnsi="Arial" w:cs="Arial"/>
          <w:sz w:val="24"/>
          <w:szCs w:val="24"/>
          <w:lang w:val="pt-BR"/>
        </w:rPr>
        <w:t xml:space="preserve">sublinharam a necessidade de garantir que </w:t>
      </w:r>
      <w:r w:rsidR="00741749" w:rsidRPr="00D01E89">
        <w:rPr>
          <w:rFonts w:ascii="Arial" w:hAnsi="Arial" w:cs="Arial"/>
          <w:sz w:val="24"/>
          <w:szCs w:val="24"/>
          <w:lang w:val="pt-BR"/>
        </w:rPr>
        <w:t xml:space="preserve">a aplicação do princípio do tratamento nacional </w:t>
      </w:r>
      <w:r w:rsidR="00563C07" w:rsidRPr="00D01E89">
        <w:rPr>
          <w:rFonts w:ascii="Arial" w:hAnsi="Arial" w:cs="Arial"/>
          <w:sz w:val="24"/>
          <w:szCs w:val="24"/>
          <w:lang w:val="pt-BR"/>
        </w:rPr>
        <w:t xml:space="preserve">no </w:t>
      </w:r>
      <w:r w:rsidR="00B321B7" w:rsidRPr="00D01E89">
        <w:rPr>
          <w:rFonts w:ascii="Arial" w:hAnsi="Arial" w:cs="Arial"/>
          <w:sz w:val="24"/>
          <w:szCs w:val="24"/>
          <w:lang w:val="pt-BR"/>
        </w:rPr>
        <w:t>reconhecimento</w:t>
      </w:r>
      <w:r w:rsidR="00563C07" w:rsidRPr="00D01E89">
        <w:rPr>
          <w:rFonts w:ascii="Arial" w:hAnsi="Arial" w:cs="Arial"/>
          <w:sz w:val="24"/>
          <w:szCs w:val="24"/>
          <w:lang w:val="pt-BR"/>
        </w:rPr>
        <w:t xml:space="preserve"> das </w:t>
      </w:r>
      <w:r w:rsidR="00B321B7" w:rsidRPr="00D01E89">
        <w:rPr>
          <w:rFonts w:ascii="Arial" w:hAnsi="Arial" w:cs="Arial"/>
          <w:sz w:val="24"/>
          <w:szCs w:val="24"/>
          <w:lang w:val="pt-BR"/>
        </w:rPr>
        <w:t>qualificações</w:t>
      </w:r>
      <w:r w:rsidR="00563C07" w:rsidRPr="00D01E89">
        <w:rPr>
          <w:rFonts w:ascii="Arial" w:hAnsi="Arial" w:cs="Arial"/>
          <w:sz w:val="24"/>
          <w:szCs w:val="24"/>
          <w:lang w:val="pt-BR"/>
        </w:rPr>
        <w:t xml:space="preserve"> profissionais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não </w:t>
      </w:r>
      <w:r w:rsidR="00F37133" w:rsidRPr="00D01E89">
        <w:rPr>
          <w:rFonts w:ascii="Arial" w:hAnsi="Arial" w:cs="Arial"/>
          <w:sz w:val="24"/>
          <w:szCs w:val="24"/>
          <w:lang w:val="pt-BR"/>
        </w:rPr>
        <w:t xml:space="preserve">prejudique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os profissionais </w:t>
      </w:r>
      <w:r w:rsidR="00B8785E" w:rsidRPr="00D01E89">
        <w:rPr>
          <w:rFonts w:ascii="Arial" w:hAnsi="Arial" w:cs="Arial"/>
          <w:sz w:val="24"/>
          <w:szCs w:val="24"/>
          <w:lang w:val="pt-BR"/>
        </w:rPr>
        <w:t xml:space="preserve">de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outro </w:t>
      </w:r>
      <w:r w:rsidR="00E66656" w:rsidRPr="00D01E89">
        <w:rPr>
          <w:rFonts w:ascii="Arial" w:hAnsi="Arial" w:cs="Arial"/>
          <w:sz w:val="24"/>
          <w:szCs w:val="24"/>
          <w:lang w:val="pt-BR"/>
        </w:rPr>
        <w:t xml:space="preserve">Estado </w:t>
      </w:r>
      <w:r w:rsidR="00B8785E" w:rsidRPr="00D01E89">
        <w:rPr>
          <w:rFonts w:ascii="Arial" w:hAnsi="Arial" w:cs="Arial"/>
          <w:sz w:val="24"/>
          <w:szCs w:val="24"/>
          <w:lang w:val="pt-BR"/>
        </w:rPr>
        <w:t>Parte</w:t>
      </w:r>
      <w:r w:rsidR="00B321B7" w:rsidRPr="00D01E89">
        <w:rPr>
          <w:rFonts w:ascii="Arial" w:hAnsi="Arial" w:cs="Arial"/>
          <w:sz w:val="24"/>
          <w:szCs w:val="24"/>
          <w:lang w:val="pt-BR"/>
        </w:rPr>
        <w:t>, por exemplo</w:t>
      </w:r>
      <w:r w:rsidR="00563C07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485978" w:rsidRPr="00D01E89">
        <w:rPr>
          <w:rFonts w:ascii="Arial" w:hAnsi="Arial" w:cs="Arial"/>
          <w:sz w:val="24"/>
          <w:szCs w:val="24"/>
          <w:lang w:val="pt-BR"/>
        </w:rPr>
        <w:t xml:space="preserve">um </w:t>
      </w:r>
      <w:r w:rsidR="00741749" w:rsidRPr="00D01E89">
        <w:rPr>
          <w:rFonts w:ascii="Arial" w:hAnsi="Arial" w:cs="Arial"/>
          <w:sz w:val="24"/>
          <w:szCs w:val="24"/>
          <w:lang w:val="pt-BR"/>
        </w:rPr>
        <w:t xml:space="preserve">profissional </w:t>
      </w:r>
      <w:r w:rsidR="00485978" w:rsidRPr="00D01E89">
        <w:rPr>
          <w:rFonts w:ascii="Arial" w:hAnsi="Arial" w:cs="Arial"/>
          <w:sz w:val="24"/>
          <w:szCs w:val="24"/>
          <w:lang w:val="pt-BR"/>
        </w:rPr>
        <w:t xml:space="preserve">júnior </w:t>
      </w:r>
      <w:r w:rsidR="00563C07" w:rsidRPr="00D01E89">
        <w:rPr>
          <w:rFonts w:ascii="Arial" w:hAnsi="Arial" w:cs="Arial"/>
          <w:sz w:val="24"/>
          <w:szCs w:val="24"/>
          <w:lang w:val="pt-BR"/>
        </w:rPr>
        <w:t xml:space="preserve">de </w:t>
      </w:r>
      <w:r w:rsidR="00181EA0" w:rsidRPr="00D01E89">
        <w:rPr>
          <w:rFonts w:ascii="Arial" w:hAnsi="Arial" w:cs="Arial"/>
          <w:sz w:val="24"/>
          <w:szCs w:val="24"/>
          <w:lang w:val="pt-BR"/>
        </w:rPr>
        <w:t xml:space="preserve">um </w:t>
      </w:r>
      <w:r w:rsidR="00563C07" w:rsidRPr="00D01E89">
        <w:rPr>
          <w:rFonts w:ascii="Arial" w:hAnsi="Arial" w:cs="Arial"/>
          <w:sz w:val="24"/>
          <w:szCs w:val="24"/>
          <w:lang w:val="pt-BR"/>
        </w:rPr>
        <w:t xml:space="preserve">Estado Parte </w:t>
      </w:r>
      <w:r w:rsidR="00741749" w:rsidRPr="00D01E89">
        <w:rPr>
          <w:rFonts w:ascii="Arial" w:hAnsi="Arial" w:cs="Arial"/>
          <w:sz w:val="24"/>
          <w:szCs w:val="24"/>
          <w:lang w:val="pt-BR"/>
        </w:rPr>
        <w:t xml:space="preserve">supervisionado </w:t>
      </w:r>
      <w:r w:rsidR="00563C07" w:rsidRPr="00D01E89">
        <w:rPr>
          <w:rFonts w:ascii="Arial" w:hAnsi="Arial" w:cs="Arial"/>
          <w:sz w:val="24"/>
          <w:szCs w:val="24"/>
          <w:lang w:val="pt-BR"/>
        </w:rPr>
        <w:t xml:space="preserve">por </w:t>
      </w:r>
      <w:r w:rsidR="00FD376F" w:rsidRPr="00D01E89">
        <w:rPr>
          <w:rFonts w:ascii="Arial" w:hAnsi="Arial" w:cs="Arial"/>
          <w:sz w:val="24"/>
          <w:szCs w:val="24"/>
          <w:lang w:val="pt-BR"/>
        </w:rPr>
        <w:t xml:space="preserve">um profissional </w:t>
      </w:r>
      <w:r w:rsidR="00DA256F" w:rsidRPr="00D01E89">
        <w:rPr>
          <w:rFonts w:ascii="Arial" w:hAnsi="Arial" w:cs="Arial"/>
          <w:sz w:val="24"/>
          <w:szCs w:val="24"/>
          <w:lang w:val="pt-BR"/>
        </w:rPr>
        <w:t xml:space="preserve">registado </w:t>
      </w:r>
      <w:r w:rsidR="00FD376F" w:rsidRPr="00D01E89">
        <w:rPr>
          <w:rFonts w:ascii="Arial" w:hAnsi="Arial" w:cs="Arial"/>
          <w:sz w:val="24"/>
          <w:szCs w:val="24"/>
          <w:lang w:val="pt-BR"/>
        </w:rPr>
        <w:t xml:space="preserve">noutro Estado </w:t>
      </w:r>
      <w:r w:rsidR="00563C07" w:rsidRPr="00D01E89">
        <w:rPr>
          <w:rFonts w:ascii="Arial" w:hAnsi="Arial" w:cs="Arial"/>
          <w:sz w:val="24"/>
          <w:szCs w:val="24"/>
          <w:lang w:val="pt-BR"/>
        </w:rPr>
        <w:t>Parte</w:t>
      </w:r>
      <w:r w:rsidR="00195AAD" w:rsidRPr="00D01E89">
        <w:rPr>
          <w:rFonts w:ascii="Arial" w:hAnsi="Arial" w:cs="Arial"/>
          <w:sz w:val="24"/>
          <w:szCs w:val="24"/>
          <w:lang w:val="pt-BR"/>
        </w:rPr>
        <w:t xml:space="preserve">. Além </w:t>
      </w:r>
      <w:r w:rsidR="00750065" w:rsidRPr="00D01E89">
        <w:rPr>
          <w:rFonts w:ascii="Arial" w:hAnsi="Arial" w:cs="Arial"/>
          <w:sz w:val="24"/>
          <w:szCs w:val="24"/>
          <w:lang w:val="pt-BR"/>
        </w:rPr>
        <w:t xml:space="preserve">disso, </w:t>
      </w:r>
      <w:r w:rsidR="00B321B7" w:rsidRPr="00D01E89">
        <w:rPr>
          <w:rFonts w:ascii="Arial" w:hAnsi="Arial" w:cs="Arial"/>
          <w:sz w:val="24"/>
          <w:szCs w:val="24"/>
          <w:lang w:val="pt-BR"/>
        </w:rPr>
        <w:t>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Membros </w:t>
      </w:r>
      <w:r w:rsidR="00750065" w:rsidRPr="00D01E89">
        <w:rPr>
          <w:rFonts w:ascii="Arial" w:hAnsi="Arial" w:cs="Arial"/>
          <w:sz w:val="24"/>
          <w:szCs w:val="24"/>
          <w:lang w:val="pt-BR"/>
        </w:rPr>
        <w:t xml:space="preserve">tinham opiniões </w:t>
      </w:r>
      <w:r w:rsidR="001C38AE" w:rsidRPr="00D01E89">
        <w:rPr>
          <w:rFonts w:ascii="Arial" w:hAnsi="Arial" w:cs="Arial"/>
          <w:sz w:val="24"/>
          <w:szCs w:val="24"/>
          <w:lang w:val="pt-BR"/>
        </w:rPr>
        <w:t xml:space="preserve">divergentes </w:t>
      </w:r>
      <w:r w:rsidR="00750065" w:rsidRPr="00D01E89">
        <w:rPr>
          <w:rFonts w:ascii="Arial" w:hAnsi="Arial" w:cs="Arial"/>
          <w:sz w:val="24"/>
          <w:szCs w:val="24"/>
          <w:lang w:val="pt-BR"/>
        </w:rPr>
        <w:t xml:space="preserve">quanto ao facto de 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750065" w:rsidRPr="00D01E89">
        <w:rPr>
          <w:rFonts w:ascii="Arial" w:hAnsi="Arial" w:cs="Arial"/>
          <w:sz w:val="24"/>
          <w:szCs w:val="24"/>
          <w:lang w:val="pt-BR"/>
        </w:rPr>
        <w:t xml:space="preserve"> deverem </w:t>
      </w:r>
      <w:r w:rsidR="001C38AE" w:rsidRPr="00D01E89">
        <w:rPr>
          <w:rFonts w:ascii="Arial" w:hAnsi="Arial" w:cs="Arial"/>
          <w:sz w:val="24"/>
          <w:szCs w:val="24"/>
          <w:lang w:val="pt-BR"/>
        </w:rPr>
        <w:t xml:space="preserve">ou não </w:t>
      </w:r>
      <w:r w:rsidR="00750065" w:rsidRPr="00D01E89">
        <w:rPr>
          <w:rFonts w:ascii="Arial" w:hAnsi="Arial" w:cs="Arial"/>
          <w:sz w:val="24"/>
          <w:szCs w:val="24"/>
          <w:lang w:val="pt-BR"/>
        </w:rPr>
        <w:t xml:space="preserve">estar ligados às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listas </w:t>
      </w:r>
      <w:r w:rsidR="001C38AE" w:rsidRPr="00D01E89">
        <w:rPr>
          <w:rFonts w:ascii="Arial" w:hAnsi="Arial" w:cs="Arial"/>
          <w:sz w:val="24"/>
          <w:szCs w:val="24"/>
          <w:lang w:val="pt-BR"/>
        </w:rPr>
        <w:t xml:space="preserve">de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compromissos </w:t>
      </w:r>
      <w:r w:rsidR="001C38AE" w:rsidRPr="00D01E89">
        <w:rPr>
          <w:rFonts w:ascii="Arial" w:hAnsi="Arial" w:cs="Arial"/>
          <w:sz w:val="24"/>
          <w:szCs w:val="24"/>
          <w:lang w:val="pt-BR"/>
        </w:rPr>
        <w:t>dos Estados Partes. Alguns Estado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1C38AE" w:rsidRPr="00D01E89">
        <w:rPr>
          <w:rFonts w:ascii="Arial" w:hAnsi="Arial" w:cs="Arial"/>
          <w:sz w:val="24"/>
          <w:szCs w:val="24"/>
          <w:lang w:val="pt-BR"/>
        </w:rPr>
        <w:t xml:space="preserve">-Membros consideraram que </w:t>
      </w:r>
      <w:r w:rsidR="00D32222" w:rsidRPr="00D01E89">
        <w:rPr>
          <w:rFonts w:ascii="Arial" w:hAnsi="Arial" w:cs="Arial"/>
          <w:sz w:val="24"/>
          <w:szCs w:val="24"/>
          <w:lang w:val="pt-BR"/>
        </w:rPr>
        <w:t xml:space="preserve">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D32222" w:rsidRPr="00D01E89">
        <w:rPr>
          <w:rFonts w:ascii="Arial" w:hAnsi="Arial" w:cs="Arial"/>
          <w:sz w:val="24"/>
          <w:szCs w:val="24"/>
          <w:lang w:val="pt-BR"/>
        </w:rPr>
        <w:t xml:space="preserve"> facilitariam o reconhecimento das qualificações de </w:t>
      </w:r>
      <w:r w:rsidR="00E2086B" w:rsidRPr="00D01E89">
        <w:rPr>
          <w:rFonts w:ascii="Arial" w:hAnsi="Arial" w:cs="Arial"/>
          <w:sz w:val="24"/>
          <w:szCs w:val="24"/>
          <w:lang w:val="pt-BR"/>
        </w:rPr>
        <w:t xml:space="preserve">acordo com o </w:t>
      </w:r>
      <w:r w:rsidR="00181EA0" w:rsidRPr="00D01E89">
        <w:rPr>
          <w:rFonts w:ascii="Arial" w:hAnsi="Arial" w:cs="Arial"/>
          <w:sz w:val="24"/>
          <w:szCs w:val="24"/>
          <w:lang w:val="pt-BR"/>
        </w:rPr>
        <w:t xml:space="preserve">princípio do tratamento da </w:t>
      </w:r>
      <w:r w:rsidR="00E2086B" w:rsidRPr="00D01E89">
        <w:rPr>
          <w:rFonts w:ascii="Arial" w:hAnsi="Arial" w:cs="Arial"/>
          <w:sz w:val="24"/>
          <w:szCs w:val="24"/>
          <w:lang w:val="pt-BR"/>
        </w:rPr>
        <w:t xml:space="preserve">nação mais favorecida (NMF), </w:t>
      </w:r>
      <w:r w:rsidR="00D32222" w:rsidRPr="00D01E89">
        <w:rPr>
          <w:rFonts w:ascii="Arial" w:hAnsi="Arial" w:cs="Arial"/>
          <w:sz w:val="24"/>
          <w:szCs w:val="24"/>
          <w:lang w:val="pt-BR"/>
        </w:rPr>
        <w:t xml:space="preserve">mesmo nos casos em que um Estado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Parte </w:t>
      </w:r>
      <w:r w:rsidR="00D32222" w:rsidRPr="00D01E89">
        <w:rPr>
          <w:rFonts w:ascii="Arial" w:hAnsi="Arial" w:cs="Arial"/>
          <w:sz w:val="24"/>
          <w:szCs w:val="24"/>
          <w:lang w:val="pt-BR"/>
        </w:rPr>
        <w:t xml:space="preserve">não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tivesse </w:t>
      </w:r>
      <w:r w:rsidR="00D32222" w:rsidRPr="00D01E89">
        <w:rPr>
          <w:rFonts w:ascii="Arial" w:hAnsi="Arial" w:cs="Arial"/>
          <w:sz w:val="24"/>
          <w:szCs w:val="24"/>
          <w:lang w:val="pt-BR"/>
        </w:rPr>
        <w:t xml:space="preserve">compromissos </w:t>
      </w:r>
      <w:r w:rsidR="000E0860" w:rsidRPr="00D01E89">
        <w:rPr>
          <w:rFonts w:ascii="Arial" w:hAnsi="Arial" w:cs="Arial"/>
          <w:sz w:val="24"/>
          <w:szCs w:val="24"/>
          <w:lang w:val="pt-BR"/>
        </w:rPr>
        <w:t xml:space="preserve">de liberalização ao abrigo do </w:t>
      </w:r>
      <w:r w:rsidR="00C047AB" w:rsidRPr="00D01E89">
        <w:rPr>
          <w:rFonts w:ascii="Arial" w:hAnsi="Arial" w:cs="Arial"/>
          <w:sz w:val="24"/>
          <w:szCs w:val="24"/>
          <w:lang w:val="pt-BR"/>
        </w:rPr>
        <w:t xml:space="preserve">Protocolo, bem como </w:t>
      </w:r>
      <w:r w:rsidR="00181EA0" w:rsidRPr="00D01E89">
        <w:rPr>
          <w:rFonts w:ascii="Arial" w:hAnsi="Arial" w:cs="Arial"/>
          <w:sz w:val="24"/>
          <w:szCs w:val="24"/>
          <w:lang w:val="pt-BR"/>
        </w:rPr>
        <w:t xml:space="preserve">nos casos </w:t>
      </w:r>
      <w:r w:rsidR="00C047AB" w:rsidRPr="00D01E89">
        <w:rPr>
          <w:rFonts w:ascii="Arial" w:hAnsi="Arial" w:cs="Arial"/>
          <w:sz w:val="24"/>
          <w:szCs w:val="24"/>
          <w:lang w:val="pt-BR"/>
        </w:rPr>
        <w:t xml:space="preserve">de esforços de liberalização </w:t>
      </w:r>
      <w:r w:rsidR="000E0860" w:rsidRPr="00D01E89">
        <w:rPr>
          <w:rFonts w:ascii="Arial" w:hAnsi="Arial" w:cs="Arial"/>
          <w:sz w:val="24"/>
          <w:szCs w:val="24"/>
          <w:lang w:val="pt-BR"/>
        </w:rPr>
        <w:t>unilaterais</w:t>
      </w:r>
      <w:r w:rsidR="00181EA0" w:rsidRPr="00D01E89">
        <w:rPr>
          <w:rFonts w:ascii="Arial" w:hAnsi="Arial" w:cs="Arial"/>
          <w:sz w:val="24"/>
          <w:szCs w:val="24"/>
          <w:lang w:val="pt-BR"/>
        </w:rPr>
        <w:t xml:space="preserve">.  Foi igualmente referido que </w:t>
      </w:r>
      <w:r w:rsidR="00F101A0" w:rsidRPr="00D01E89">
        <w:rPr>
          <w:rFonts w:ascii="Arial" w:hAnsi="Arial" w:cs="Arial"/>
          <w:sz w:val="24"/>
          <w:szCs w:val="24"/>
          <w:lang w:val="pt-BR"/>
        </w:rPr>
        <w:t xml:space="preserve">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181EA0" w:rsidRPr="00D01E89">
        <w:rPr>
          <w:rFonts w:ascii="Arial" w:hAnsi="Arial" w:cs="Arial"/>
          <w:sz w:val="24"/>
          <w:szCs w:val="24"/>
          <w:lang w:val="pt-BR"/>
        </w:rPr>
        <w:t xml:space="preserve"> contribuiriam para o </w:t>
      </w:r>
      <w:r w:rsidR="00C047AB" w:rsidRPr="00D01E89">
        <w:rPr>
          <w:rFonts w:ascii="Arial" w:hAnsi="Arial" w:cs="Arial"/>
          <w:sz w:val="24"/>
          <w:szCs w:val="24"/>
          <w:lang w:val="pt-BR"/>
        </w:rPr>
        <w:t xml:space="preserve">desenvolvimento da profissão. </w:t>
      </w:r>
    </w:p>
    <w:p w14:paraId="687DA840" w14:textId="77777777" w:rsidR="0019012A" w:rsidRPr="00D01E89" w:rsidRDefault="00895CA3">
      <w:pPr>
        <w:pStyle w:val="ListParagraph"/>
        <w:numPr>
          <w:ilvl w:val="0"/>
          <w:numId w:val="27"/>
        </w:numPr>
        <w:spacing w:before="240" w:after="0" w:line="312" w:lineRule="auto"/>
        <w:ind w:hanging="76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>Além disso, alguns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Membros propuseram </w:t>
      </w:r>
      <w:r w:rsidR="000B4AA3" w:rsidRPr="00D01E89">
        <w:rPr>
          <w:rFonts w:ascii="Arial" w:hAnsi="Arial" w:cs="Arial"/>
          <w:sz w:val="24"/>
          <w:szCs w:val="24"/>
          <w:lang w:val="pt-BR"/>
        </w:rPr>
        <w:t xml:space="preserve">que a última parte do ponto 9.3, com a seguinte redação: </w:t>
      </w:r>
      <w:r w:rsidR="006542D3" w:rsidRPr="00D01E89">
        <w:rPr>
          <w:rFonts w:ascii="Arial" w:hAnsi="Arial" w:cs="Arial"/>
          <w:sz w:val="24"/>
          <w:szCs w:val="24"/>
          <w:lang w:val="pt-BR"/>
        </w:rPr>
        <w:t>"</w:t>
      </w:r>
      <w:r w:rsidR="001E17F3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nada num </w:t>
      </w:r>
      <w:r w:rsidR="00996827">
        <w:rPr>
          <w:rFonts w:ascii="Arial" w:hAnsi="Arial" w:cs="Arial"/>
          <w:i/>
          <w:iCs/>
          <w:sz w:val="24"/>
          <w:szCs w:val="24"/>
          <w:lang w:val="pt-BR"/>
        </w:rPr>
        <w:t>MRA</w:t>
      </w:r>
      <w:r w:rsidR="002E1EAB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r w:rsidR="001E17F3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final </w:t>
      </w:r>
      <w:r w:rsidR="002E1EAB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implicará </w:t>
      </w:r>
      <w:r w:rsidR="001E17F3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ou </w:t>
      </w:r>
      <w:r w:rsidR="002E1EAB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será interpretado no </w:t>
      </w:r>
      <w:r w:rsidR="001E17F3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sentido de conceder acesso ao mercado ou </w:t>
      </w:r>
      <w:r w:rsidR="00DD3F74" w:rsidRPr="00D01E89">
        <w:rPr>
          <w:rFonts w:ascii="Arial" w:hAnsi="Arial" w:cs="Arial"/>
          <w:i/>
          <w:iCs/>
          <w:sz w:val="24"/>
          <w:szCs w:val="24"/>
          <w:lang w:val="pt-BR"/>
        </w:rPr>
        <w:t xml:space="preserve">tratamento nacional no domínio dos serviços profissionais </w:t>
      </w:r>
      <w:r w:rsidR="006542D3" w:rsidRPr="00D01E89">
        <w:rPr>
          <w:rFonts w:ascii="Arial" w:hAnsi="Arial" w:cs="Arial"/>
          <w:sz w:val="24"/>
          <w:szCs w:val="24"/>
          <w:lang w:val="pt-BR"/>
        </w:rPr>
        <w:t xml:space="preserve">...", </w:t>
      </w:r>
      <w:r w:rsidR="00DD3F74" w:rsidRPr="00D01E89">
        <w:rPr>
          <w:rFonts w:ascii="Arial" w:hAnsi="Arial" w:cs="Arial"/>
          <w:sz w:val="24"/>
          <w:szCs w:val="24"/>
          <w:lang w:val="pt-BR"/>
        </w:rPr>
        <w:t xml:space="preserve">fosse incluída numa secção adequada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relativa </w:t>
      </w:r>
      <w:r w:rsidR="009D1E9F" w:rsidRPr="00D01E89">
        <w:rPr>
          <w:rFonts w:ascii="Arial" w:hAnsi="Arial" w:cs="Arial"/>
          <w:sz w:val="24"/>
          <w:szCs w:val="24"/>
          <w:lang w:val="pt-BR"/>
        </w:rPr>
        <w:t xml:space="preserve">à aplicação dos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9D1E9F" w:rsidRPr="00D01E89">
        <w:rPr>
          <w:rFonts w:ascii="Arial" w:hAnsi="Arial" w:cs="Arial"/>
          <w:sz w:val="24"/>
          <w:szCs w:val="24"/>
          <w:lang w:val="pt-BR"/>
        </w:rPr>
        <w:t xml:space="preserve"> e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não </w:t>
      </w:r>
      <w:r w:rsidR="009D1E9F" w:rsidRPr="00D01E89">
        <w:rPr>
          <w:rFonts w:ascii="Arial" w:hAnsi="Arial" w:cs="Arial"/>
          <w:sz w:val="24"/>
          <w:szCs w:val="24"/>
          <w:lang w:val="pt-BR"/>
        </w:rPr>
        <w:t xml:space="preserve">à </w:t>
      </w:r>
      <w:r w:rsidR="00736D0D" w:rsidRPr="00D01E89">
        <w:rPr>
          <w:rFonts w:ascii="Arial" w:hAnsi="Arial" w:cs="Arial"/>
          <w:sz w:val="24"/>
          <w:szCs w:val="24"/>
          <w:lang w:val="pt-BR"/>
        </w:rPr>
        <w:t xml:space="preserve">estrutura de um </w:t>
      </w:r>
      <w:r w:rsidR="00996827">
        <w:rPr>
          <w:rFonts w:ascii="Arial" w:hAnsi="Arial" w:cs="Arial"/>
          <w:sz w:val="24"/>
          <w:szCs w:val="24"/>
          <w:lang w:val="pt-BR"/>
        </w:rPr>
        <w:t>MRA</w:t>
      </w:r>
      <w:r w:rsidR="00736D0D" w:rsidRPr="00D01E89">
        <w:rPr>
          <w:rFonts w:ascii="Arial" w:hAnsi="Arial" w:cs="Arial"/>
          <w:sz w:val="24"/>
          <w:szCs w:val="24"/>
          <w:lang w:val="pt-BR"/>
        </w:rPr>
        <w:t>.</w:t>
      </w:r>
    </w:p>
    <w:p w14:paraId="37AC932A" w14:textId="77777777" w:rsidR="0019012A" w:rsidRPr="00D01E89" w:rsidRDefault="00895CA3">
      <w:pPr>
        <w:pStyle w:val="ListParagraph"/>
        <w:numPr>
          <w:ilvl w:val="0"/>
          <w:numId w:val="27"/>
        </w:numPr>
        <w:spacing w:before="240" w:after="0" w:line="312" w:lineRule="auto"/>
        <w:ind w:hanging="761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Conclusão </w:t>
      </w:r>
      <w:r w:rsidR="00105128" w:rsidRPr="00D01E89">
        <w:rPr>
          <w:rFonts w:ascii="Arial" w:hAnsi="Arial" w:cs="Arial"/>
          <w:sz w:val="24"/>
          <w:szCs w:val="24"/>
          <w:u w:val="single"/>
          <w:lang w:val="pt-BR"/>
        </w:rPr>
        <w:t>11</w:t>
      </w:r>
      <w:r w:rsidRPr="00D01E89">
        <w:rPr>
          <w:rFonts w:ascii="Arial" w:hAnsi="Arial" w:cs="Arial"/>
          <w:sz w:val="24"/>
          <w:szCs w:val="24"/>
          <w:u w:val="single"/>
          <w:lang w:val="pt-BR"/>
        </w:rPr>
        <w:t>: Estrutura de um M</w:t>
      </w:r>
      <w:r w:rsidR="00996827">
        <w:rPr>
          <w:rFonts w:ascii="Arial" w:hAnsi="Arial" w:cs="Arial"/>
          <w:sz w:val="24"/>
          <w:szCs w:val="24"/>
          <w:u w:val="single"/>
          <w:lang w:val="pt-BR"/>
        </w:rPr>
        <w:t>RA</w:t>
      </w:r>
      <w:r w:rsidRPr="00D01E89"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 w:rsidR="008E09FF" w:rsidRPr="00D01E89">
        <w:rPr>
          <w:rFonts w:ascii="Arial" w:hAnsi="Arial" w:cs="Arial"/>
          <w:sz w:val="24"/>
          <w:szCs w:val="24"/>
          <w:u w:val="single"/>
          <w:lang w:val="pt-BR"/>
        </w:rPr>
        <w:t>[Secção 9]</w:t>
      </w:r>
    </w:p>
    <w:p w14:paraId="72968C05" w14:textId="77777777" w:rsidR="0019012A" w:rsidRPr="00D01E89" w:rsidRDefault="00895CA3">
      <w:pPr>
        <w:shd w:val="clear" w:color="auto" w:fill="D9D9D9" w:themeFill="background1" w:themeFillShade="D9"/>
        <w:spacing w:before="240" w:after="0" w:line="312" w:lineRule="auto"/>
        <w:ind w:left="162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lastRenderedPageBreak/>
        <w:t xml:space="preserve">Colocar </w:t>
      </w:r>
      <w:r w:rsidR="00075A45" w:rsidRPr="00D01E89">
        <w:rPr>
          <w:rFonts w:ascii="Arial" w:hAnsi="Arial" w:cs="Arial"/>
          <w:sz w:val="24"/>
          <w:szCs w:val="24"/>
          <w:lang w:val="pt-BR"/>
        </w:rPr>
        <w:t xml:space="preserve">todo o ponto </w:t>
      </w:r>
      <w:r w:rsidR="00464574" w:rsidRPr="00D01E89">
        <w:rPr>
          <w:rFonts w:ascii="Arial" w:hAnsi="Arial" w:cs="Arial"/>
          <w:sz w:val="24"/>
          <w:szCs w:val="24"/>
          <w:lang w:val="pt-BR"/>
        </w:rPr>
        <w:t xml:space="preserve">9.3 </w:t>
      </w:r>
      <w:r w:rsidRPr="00D01E89">
        <w:rPr>
          <w:rFonts w:ascii="Arial" w:hAnsi="Arial" w:cs="Arial"/>
          <w:sz w:val="24"/>
          <w:szCs w:val="24"/>
          <w:lang w:val="pt-BR"/>
        </w:rPr>
        <w:t>à consideração dos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Membros na próxima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reunião </w:t>
      </w:r>
      <w:r w:rsidR="00075A45" w:rsidRPr="00D01E89">
        <w:rPr>
          <w:rFonts w:ascii="Arial" w:hAnsi="Arial" w:cs="Arial"/>
          <w:sz w:val="24"/>
          <w:szCs w:val="24"/>
          <w:lang w:val="pt-BR"/>
        </w:rPr>
        <w:t>do TNF-Servi</w:t>
      </w:r>
      <w:r w:rsidR="00996827">
        <w:rPr>
          <w:rFonts w:ascii="Arial" w:hAnsi="Arial" w:cs="Arial"/>
          <w:sz w:val="24"/>
          <w:szCs w:val="24"/>
          <w:lang w:val="pt-BR"/>
        </w:rPr>
        <w:t>ço</w:t>
      </w:r>
      <w:r w:rsidR="00075A45" w:rsidRPr="00D01E89">
        <w:rPr>
          <w:rFonts w:ascii="Arial" w:hAnsi="Arial" w:cs="Arial"/>
          <w:sz w:val="24"/>
          <w:szCs w:val="24"/>
          <w:lang w:val="pt-BR"/>
        </w:rPr>
        <w:t>s.</w:t>
      </w:r>
    </w:p>
    <w:p w14:paraId="14868CE3" w14:textId="77777777" w:rsidR="00F30803" w:rsidRPr="00D01E89" w:rsidRDefault="00F30803" w:rsidP="00F30803">
      <w:pPr>
        <w:tabs>
          <w:tab w:val="left" w:pos="1170"/>
        </w:tabs>
        <w:spacing w:after="0" w:line="312" w:lineRule="auto"/>
        <w:rPr>
          <w:rFonts w:ascii="Arial" w:hAnsi="Arial" w:cs="Arial"/>
          <w:sz w:val="24"/>
          <w:szCs w:val="24"/>
          <w:lang w:val="pt-BR"/>
        </w:rPr>
      </w:pPr>
    </w:p>
    <w:p w14:paraId="08D797B1" w14:textId="77777777" w:rsidR="0019012A" w:rsidRDefault="00895CA3">
      <w:pPr>
        <w:pStyle w:val="ListParagraph"/>
        <w:numPr>
          <w:ilvl w:val="2"/>
          <w:numId w:val="1"/>
        </w:numPr>
        <w:spacing w:after="0" w:line="312" w:lineRule="auto"/>
        <w:ind w:hanging="1224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D01E89">
        <w:rPr>
          <w:rFonts w:ascii="Arial" w:hAnsi="Arial" w:cs="Arial"/>
          <w:b/>
          <w:bCs/>
          <w:caps/>
          <w:sz w:val="24"/>
          <w:szCs w:val="24"/>
          <w:lang w:val="pt-BR"/>
        </w:rPr>
        <w:tab/>
      </w:r>
      <w:r w:rsidRPr="00F101A0">
        <w:rPr>
          <w:rFonts w:ascii="Arial" w:hAnsi="Arial" w:cs="Arial"/>
          <w:b/>
          <w:bCs/>
          <w:caps/>
          <w:sz w:val="24"/>
          <w:szCs w:val="24"/>
        </w:rPr>
        <w:t xml:space="preserve">Apêndice </w:t>
      </w:r>
      <w:r w:rsidR="00BE25DA" w:rsidRPr="00F101A0">
        <w:rPr>
          <w:rFonts w:ascii="Arial" w:hAnsi="Arial" w:cs="Arial"/>
          <w:b/>
          <w:bCs/>
          <w:caps/>
          <w:sz w:val="24"/>
          <w:szCs w:val="24"/>
        </w:rPr>
        <w:t>I</w:t>
      </w:r>
    </w:p>
    <w:p w14:paraId="51E30FC1" w14:textId="77777777" w:rsidR="0019012A" w:rsidRPr="00D01E89" w:rsidRDefault="00895CA3">
      <w:pPr>
        <w:pStyle w:val="ListParagraph"/>
        <w:numPr>
          <w:ilvl w:val="0"/>
          <w:numId w:val="28"/>
        </w:numPr>
        <w:tabs>
          <w:tab w:val="left" w:pos="851"/>
        </w:tabs>
        <w:spacing w:before="240" w:after="0" w:line="312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Preâmbulo </w:t>
      </w:r>
      <w:r w:rsidR="00B321B7" w:rsidRPr="00D01E89">
        <w:rPr>
          <w:rFonts w:ascii="Arial" w:hAnsi="Arial" w:cs="Arial"/>
          <w:sz w:val="24"/>
          <w:szCs w:val="24"/>
          <w:lang w:val="pt-BR"/>
        </w:rPr>
        <w:t>-</w:t>
      </w:r>
      <w:r w:rsidR="00C7649C" w:rsidRPr="00D01E89">
        <w:rPr>
          <w:rFonts w:ascii="Arial" w:hAnsi="Arial" w:cs="Arial"/>
          <w:sz w:val="24"/>
          <w:szCs w:val="24"/>
          <w:lang w:val="pt-BR"/>
        </w:rPr>
        <w:t xml:space="preserve"> A reunião analisou as alterações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introduzidas </w:t>
      </w:r>
      <w:r w:rsidR="00C7649C" w:rsidRPr="00D01E89">
        <w:rPr>
          <w:rFonts w:ascii="Arial" w:hAnsi="Arial" w:cs="Arial"/>
          <w:sz w:val="24"/>
          <w:szCs w:val="24"/>
          <w:lang w:val="pt-BR"/>
        </w:rPr>
        <w:t xml:space="preserve">pelo Secretariado </w:t>
      </w:r>
      <w:r w:rsidR="00FB1D92" w:rsidRPr="00D01E89">
        <w:rPr>
          <w:rFonts w:ascii="Arial" w:hAnsi="Arial" w:cs="Arial"/>
          <w:sz w:val="24"/>
          <w:szCs w:val="24"/>
          <w:lang w:val="pt-BR"/>
        </w:rPr>
        <w:t xml:space="preserve">para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incorporar os contributos </w:t>
      </w:r>
      <w:r w:rsidR="00DE245F" w:rsidRPr="00D01E89">
        <w:rPr>
          <w:rFonts w:ascii="Arial" w:hAnsi="Arial" w:cs="Arial"/>
          <w:sz w:val="24"/>
          <w:szCs w:val="24"/>
          <w:lang w:val="pt-BR"/>
        </w:rPr>
        <w:t xml:space="preserve">da </w:t>
      </w:r>
      <w:r w:rsidR="00E52D62" w:rsidRPr="00D01E89">
        <w:rPr>
          <w:rFonts w:ascii="Arial" w:hAnsi="Arial" w:cs="Arial"/>
          <w:sz w:val="24"/>
          <w:szCs w:val="24"/>
          <w:lang w:val="pt-BR"/>
        </w:rPr>
        <w:t xml:space="preserve">primeira sessão </w:t>
      </w:r>
      <w:r w:rsidR="00B321B7" w:rsidRPr="00D01E89">
        <w:rPr>
          <w:rFonts w:ascii="Arial" w:hAnsi="Arial" w:cs="Arial"/>
          <w:sz w:val="24"/>
          <w:szCs w:val="24"/>
          <w:lang w:val="pt-BR"/>
        </w:rPr>
        <w:t>específica</w:t>
      </w:r>
      <w:r w:rsidR="00DE245F" w:rsidRPr="00D01E89">
        <w:rPr>
          <w:rFonts w:ascii="Arial" w:hAnsi="Arial" w:cs="Arial"/>
          <w:sz w:val="24"/>
          <w:szCs w:val="24"/>
          <w:lang w:val="pt-BR"/>
        </w:rPr>
        <w:t>. Os Estados</w:t>
      </w:r>
      <w:r w:rsidR="004C6578">
        <w:rPr>
          <w:rFonts w:ascii="Arial" w:hAnsi="Arial" w:cs="Arial"/>
          <w:sz w:val="24"/>
          <w:szCs w:val="24"/>
          <w:lang w:val="pt-BR"/>
        </w:rPr>
        <w:t xml:space="preserve"> </w:t>
      </w:r>
      <w:r w:rsidR="00DE245F" w:rsidRPr="00D01E89">
        <w:rPr>
          <w:rFonts w:ascii="Arial" w:hAnsi="Arial" w:cs="Arial"/>
          <w:sz w:val="24"/>
          <w:szCs w:val="24"/>
          <w:lang w:val="pt-BR"/>
        </w:rPr>
        <w:t xml:space="preserve">Membros não puderam discutir </w:t>
      </w:r>
      <w:r w:rsidR="00403022" w:rsidRPr="00D01E89">
        <w:rPr>
          <w:rFonts w:ascii="Arial" w:hAnsi="Arial" w:cs="Arial"/>
          <w:sz w:val="24"/>
          <w:szCs w:val="24"/>
          <w:lang w:val="pt-BR"/>
        </w:rPr>
        <w:t xml:space="preserve">toda a </w:t>
      </w:r>
      <w:r w:rsidR="004A2BC8" w:rsidRPr="00D01E89">
        <w:rPr>
          <w:rFonts w:ascii="Arial" w:hAnsi="Arial" w:cs="Arial"/>
          <w:sz w:val="24"/>
          <w:szCs w:val="24"/>
          <w:lang w:val="pt-BR"/>
        </w:rPr>
        <w:t xml:space="preserve">secção e concordaram em </w:t>
      </w:r>
      <w:r w:rsidR="00E52D62" w:rsidRPr="00D01E89">
        <w:rPr>
          <w:rFonts w:ascii="Arial" w:hAnsi="Arial" w:cs="Arial"/>
          <w:sz w:val="24"/>
          <w:szCs w:val="24"/>
          <w:lang w:val="pt-BR"/>
        </w:rPr>
        <w:t xml:space="preserve">adiar a discussão </w:t>
      </w:r>
      <w:r w:rsidR="004A2BC8" w:rsidRPr="00D01E89">
        <w:rPr>
          <w:rFonts w:ascii="Arial" w:hAnsi="Arial" w:cs="Arial"/>
          <w:sz w:val="24"/>
          <w:szCs w:val="24"/>
          <w:lang w:val="pt-BR"/>
        </w:rPr>
        <w:t>para a próxima reunião do TNF-Servi</w:t>
      </w:r>
      <w:r w:rsidR="00996827">
        <w:rPr>
          <w:rFonts w:ascii="Arial" w:hAnsi="Arial" w:cs="Arial"/>
          <w:sz w:val="24"/>
          <w:szCs w:val="24"/>
          <w:lang w:val="pt-BR"/>
        </w:rPr>
        <w:t>ço</w:t>
      </w:r>
      <w:r w:rsidR="004A2BC8" w:rsidRPr="00D01E89">
        <w:rPr>
          <w:rFonts w:ascii="Arial" w:hAnsi="Arial" w:cs="Arial"/>
          <w:sz w:val="24"/>
          <w:szCs w:val="24"/>
          <w:lang w:val="pt-BR"/>
        </w:rPr>
        <w:t>s.</w:t>
      </w:r>
    </w:p>
    <w:p w14:paraId="0EE050A2" w14:textId="77777777" w:rsidR="0019012A" w:rsidRDefault="00895CA3">
      <w:pPr>
        <w:pStyle w:val="ListParagraph"/>
        <w:numPr>
          <w:ilvl w:val="0"/>
          <w:numId w:val="28"/>
        </w:numPr>
        <w:shd w:val="clear" w:color="auto" w:fill="D9D9D9" w:themeFill="background1" w:themeFillShade="D9"/>
        <w:tabs>
          <w:tab w:val="left" w:pos="851"/>
        </w:tabs>
        <w:spacing w:before="240" w:after="0" w:line="312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1A0">
        <w:rPr>
          <w:rFonts w:ascii="Arial" w:hAnsi="Arial" w:cs="Arial"/>
          <w:sz w:val="24"/>
          <w:szCs w:val="24"/>
          <w:u w:val="single"/>
        </w:rPr>
        <w:t xml:space="preserve">Conclusões </w:t>
      </w:r>
      <w:r w:rsidR="003C2591" w:rsidRPr="00F101A0">
        <w:rPr>
          <w:rFonts w:ascii="Arial" w:hAnsi="Arial" w:cs="Arial"/>
          <w:sz w:val="24"/>
          <w:szCs w:val="24"/>
          <w:u w:val="single"/>
        </w:rPr>
        <w:t>12</w:t>
      </w:r>
      <w:r w:rsidR="004A2BC8" w:rsidRPr="00F101A0">
        <w:rPr>
          <w:rFonts w:ascii="Arial" w:hAnsi="Arial" w:cs="Arial"/>
          <w:sz w:val="24"/>
          <w:szCs w:val="24"/>
          <w:u w:val="single"/>
        </w:rPr>
        <w:t xml:space="preserve">: </w:t>
      </w:r>
      <w:r w:rsidR="00630B05">
        <w:rPr>
          <w:rFonts w:ascii="Arial" w:hAnsi="Arial" w:cs="Arial"/>
          <w:sz w:val="24"/>
          <w:szCs w:val="24"/>
          <w:u w:val="single"/>
        </w:rPr>
        <w:t>Apêndice</w:t>
      </w:r>
    </w:p>
    <w:p w14:paraId="4E821172" w14:textId="77777777" w:rsidR="0019012A" w:rsidRPr="00D01E89" w:rsidRDefault="004A2BC8">
      <w:pPr>
        <w:shd w:val="clear" w:color="auto" w:fill="D9D9D9" w:themeFill="background1" w:themeFillShade="D9"/>
        <w:spacing w:before="240" w:after="0" w:line="312" w:lineRule="auto"/>
        <w:ind w:left="1620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Os Estados-Membros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devem </w:t>
      </w:r>
      <w:r w:rsidR="005246A2" w:rsidRPr="00D01E89">
        <w:rPr>
          <w:rFonts w:ascii="Arial" w:hAnsi="Arial" w:cs="Arial"/>
          <w:sz w:val="24"/>
          <w:szCs w:val="24"/>
          <w:lang w:val="pt-BR"/>
        </w:rPr>
        <w:t xml:space="preserve">analisar </w:t>
      </w:r>
      <w:r w:rsidR="00AF235D" w:rsidRPr="00D01E89">
        <w:rPr>
          <w:rFonts w:ascii="Arial" w:hAnsi="Arial" w:cs="Arial"/>
          <w:sz w:val="24"/>
          <w:szCs w:val="24"/>
          <w:lang w:val="pt-BR"/>
        </w:rPr>
        <w:t xml:space="preserve">o Apêndice </w:t>
      </w:r>
      <w:r w:rsidR="005246A2" w:rsidRPr="00D01E89">
        <w:rPr>
          <w:rFonts w:ascii="Arial" w:hAnsi="Arial" w:cs="Arial"/>
          <w:sz w:val="24"/>
          <w:szCs w:val="24"/>
          <w:lang w:val="pt-BR"/>
        </w:rPr>
        <w:t xml:space="preserve">I </w:t>
      </w:r>
      <w:r w:rsidRPr="00D01E89">
        <w:rPr>
          <w:rFonts w:ascii="Arial" w:hAnsi="Arial" w:cs="Arial"/>
          <w:sz w:val="24"/>
          <w:szCs w:val="24"/>
          <w:lang w:val="pt-BR"/>
        </w:rPr>
        <w:t>na próxima reunião do TNF-Servi</w:t>
      </w:r>
      <w:r w:rsidR="00996827">
        <w:rPr>
          <w:rFonts w:ascii="Arial" w:hAnsi="Arial" w:cs="Arial"/>
          <w:sz w:val="24"/>
          <w:szCs w:val="24"/>
          <w:lang w:val="pt-BR"/>
        </w:rPr>
        <w:t>ço</w:t>
      </w:r>
      <w:r w:rsidRPr="00D01E89">
        <w:rPr>
          <w:rFonts w:ascii="Arial" w:hAnsi="Arial" w:cs="Arial"/>
          <w:sz w:val="24"/>
          <w:szCs w:val="24"/>
          <w:lang w:val="pt-BR"/>
        </w:rPr>
        <w:t>s.</w:t>
      </w:r>
    </w:p>
    <w:p w14:paraId="6EE41DE6" w14:textId="77777777" w:rsidR="00602E8E" w:rsidRPr="00D01E89" w:rsidRDefault="00602E8E" w:rsidP="00F30803">
      <w:pPr>
        <w:tabs>
          <w:tab w:val="left" w:pos="1170"/>
        </w:tabs>
        <w:spacing w:after="0" w:line="312" w:lineRule="auto"/>
        <w:rPr>
          <w:rFonts w:ascii="Arial" w:hAnsi="Arial" w:cs="Arial"/>
          <w:sz w:val="24"/>
          <w:szCs w:val="24"/>
          <w:lang w:val="pt-BR"/>
        </w:rPr>
      </w:pPr>
    </w:p>
    <w:p w14:paraId="405BF871" w14:textId="77777777" w:rsidR="0019012A" w:rsidRPr="00D01E89" w:rsidRDefault="00895CA3">
      <w:pPr>
        <w:pStyle w:val="ListParagraph"/>
        <w:numPr>
          <w:ilvl w:val="0"/>
          <w:numId w:val="1"/>
        </w:numPr>
        <w:tabs>
          <w:tab w:val="left" w:pos="851"/>
        </w:tabs>
        <w:spacing w:after="0" w:line="312" w:lineRule="auto"/>
        <w:ind w:left="851" w:hanging="851"/>
        <w:rPr>
          <w:rFonts w:ascii="Arial" w:hAnsi="Arial" w:cs="Arial"/>
          <w:b/>
          <w:bCs/>
          <w:sz w:val="24"/>
          <w:szCs w:val="24"/>
          <w:lang w:val="pt-BR"/>
        </w:rPr>
      </w:pPr>
      <w:r w:rsidRPr="00D01E89">
        <w:rPr>
          <w:rFonts w:ascii="Arial" w:hAnsi="Arial" w:cs="Arial"/>
          <w:b/>
          <w:bCs/>
          <w:sz w:val="24"/>
          <w:szCs w:val="24"/>
          <w:lang w:val="pt-BR"/>
        </w:rPr>
        <w:t xml:space="preserve">CAMINHO A SEGUIR E PRÓXIMA REUNIÃO </w:t>
      </w:r>
    </w:p>
    <w:p w14:paraId="2356D281" w14:textId="21132F2E" w:rsidR="0019012A" w:rsidRPr="00D01E89" w:rsidRDefault="00895CA3">
      <w:pPr>
        <w:pStyle w:val="ListParagraph"/>
        <w:numPr>
          <w:ilvl w:val="1"/>
          <w:numId w:val="1"/>
        </w:numPr>
        <w:spacing w:before="240"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 xml:space="preserve">Dada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a falta de 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quórum, os Estados Membros foram informados de que o Secretariado iria preparar e distribuir a todos os Estados Membros um relatório das </w:t>
      </w:r>
      <w:r w:rsidR="00185529" w:rsidRPr="00D01E89">
        <w:rPr>
          <w:rFonts w:ascii="Arial" w:hAnsi="Arial" w:cs="Arial"/>
          <w:sz w:val="24"/>
          <w:szCs w:val="24"/>
          <w:lang w:val="pt-BR"/>
        </w:rPr>
        <w:t>discussões e conclusões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, juntamente com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uma versão do </w:t>
      </w:r>
      <w:r w:rsidRPr="00D01E89">
        <w:rPr>
          <w:rFonts w:ascii="Arial" w:hAnsi="Arial" w:cs="Arial"/>
          <w:sz w:val="24"/>
          <w:szCs w:val="24"/>
          <w:lang w:val="pt-BR"/>
        </w:rPr>
        <w:t>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B37C29" w:rsidRPr="00D01E89">
        <w:rPr>
          <w:rFonts w:ascii="Arial" w:hAnsi="Arial" w:cs="Arial"/>
          <w:sz w:val="24"/>
          <w:szCs w:val="24"/>
          <w:lang w:val="pt-BR"/>
        </w:rPr>
        <w:t xml:space="preserve"> </w:t>
      </w:r>
      <w:r w:rsidRPr="00D01E89">
        <w:rPr>
          <w:rFonts w:ascii="Arial" w:hAnsi="Arial" w:cs="Arial"/>
          <w:sz w:val="24"/>
          <w:szCs w:val="24"/>
          <w:lang w:val="pt-BR"/>
        </w:rPr>
        <w:t>contendo anotações dos comentários dos Estados Membros</w:t>
      </w:r>
      <w:r w:rsidR="00A54CD3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755119" w:rsidRPr="00D01E89">
        <w:rPr>
          <w:rFonts w:ascii="Arial" w:hAnsi="Arial" w:cs="Arial"/>
          <w:sz w:val="24"/>
          <w:szCs w:val="24"/>
          <w:lang w:val="pt-BR"/>
        </w:rPr>
        <w:t xml:space="preserve">agora </w:t>
      </w:r>
      <w:r w:rsidR="00A54CD3" w:rsidRPr="00D01E89">
        <w:rPr>
          <w:rFonts w:ascii="Arial" w:hAnsi="Arial" w:cs="Arial"/>
          <w:sz w:val="24"/>
          <w:szCs w:val="24"/>
          <w:lang w:val="pt-BR"/>
        </w:rPr>
        <w:t xml:space="preserve">como documento </w:t>
      </w:r>
      <w:r w:rsidR="00755119" w:rsidRPr="00D01E89">
        <w:rPr>
          <w:rFonts w:ascii="Arial" w:hAnsi="Arial" w:cs="Arial"/>
          <w:b/>
          <w:bCs/>
          <w:sz w:val="24"/>
          <w:szCs w:val="24"/>
          <w:lang w:val="pt-BR"/>
        </w:rPr>
        <w:t>SADC/TNF-Serv./45/2023/04/Rev3</w:t>
      </w:r>
      <w:r w:rsidR="00B321B7" w:rsidRPr="00D01E89">
        <w:rPr>
          <w:rFonts w:ascii="Arial" w:hAnsi="Arial" w:cs="Arial"/>
          <w:sz w:val="24"/>
          <w:szCs w:val="24"/>
          <w:lang w:val="pt-BR"/>
        </w:rPr>
        <w:t>, para orientar as consultas nacionais e regionais</w:t>
      </w:r>
      <w:r w:rsidR="00013B6B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54D67554" w14:textId="07C39CB9" w:rsidR="0019012A" w:rsidRPr="00D01E89" w:rsidRDefault="00895CA3">
      <w:pPr>
        <w:pStyle w:val="ListParagraph"/>
        <w:numPr>
          <w:ilvl w:val="1"/>
          <w:numId w:val="1"/>
        </w:numPr>
        <w:spacing w:before="240" w:after="0" w:line="312" w:lineRule="auto"/>
        <w:ind w:left="851" w:hanging="851"/>
        <w:jc w:val="both"/>
        <w:rPr>
          <w:rFonts w:ascii="Arial" w:hAnsi="Arial" w:cs="Arial"/>
          <w:sz w:val="24"/>
          <w:szCs w:val="24"/>
          <w:lang w:val="pt-BR"/>
        </w:rPr>
      </w:pPr>
      <w:r w:rsidRPr="00D01E89">
        <w:rPr>
          <w:rFonts w:ascii="Arial" w:hAnsi="Arial" w:cs="Arial"/>
          <w:sz w:val="24"/>
          <w:szCs w:val="24"/>
          <w:lang w:val="pt-BR"/>
        </w:rPr>
        <w:t>A reunião constatou que não era viável finalizar o 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Pr="00D01E89">
        <w:rPr>
          <w:rFonts w:ascii="Arial" w:hAnsi="Arial" w:cs="Arial"/>
          <w:sz w:val="24"/>
          <w:szCs w:val="24"/>
          <w:lang w:val="pt-BR"/>
        </w:rPr>
        <w:t xml:space="preserve"> para apresentação à </w:t>
      </w:r>
      <w:r w:rsidR="00CA3C21" w:rsidRPr="00D01E89">
        <w:rPr>
          <w:rFonts w:ascii="Arial" w:hAnsi="Arial" w:cs="Arial"/>
          <w:sz w:val="24"/>
          <w:szCs w:val="24"/>
          <w:lang w:val="pt-BR"/>
        </w:rPr>
        <w:t xml:space="preserve">CMT em </w:t>
      </w:r>
      <w:r w:rsidR="00996827">
        <w:rPr>
          <w:rFonts w:ascii="Arial" w:hAnsi="Arial" w:cs="Arial"/>
          <w:sz w:val="24"/>
          <w:szCs w:val="24"/>
          <w:lang w:val="pt-BR"/>
        </w:rPr>
        <w:t>J</w:t>
      </w:r>
      <w:r w:rsidR="00CA3C21" w:rsidRPr="00D01E89">
        <w:rPr>
          <w:rFonts w:ascii="Arial" w:hAnsi="Arial" w:cs="Arial"/>
          <w:sz w:val="24"/>
          <w:szCs w:val="24"/>
          <w:lang w:val="pt-BR"/>
        </w:rPr>
        <w:t>unho/</w:t>
      </w:r>
      <w:r w:rsidR="00996827">
        <w:rPr>
          <w:rFonts w:ascii="Arial" w:hAnsi="Arial" w:cs="Arial"/>
          <w:sz w:val="24"/>
          <w:szCs w:val="24"/>
          <w:lang w:val="pt-BR"/>
        </w:rPr>
        <w:t>J</w:t>
      </w:r>
      <w:r w:rsidR="00CA3C21" w:rsidRPr="00D01E89">
        <w:rPr>
          <w:rFonts w:ascii="Arial" w:hAnsi="Arial" w:cs="Arial"/>
          <w:sz w:val="24"/>
          <w:szCs w:val="24"/>
          <w:lang w:val="pt-BR"/>
        </w:rPr>
        <w:t xml:space="preserve">ulho de 2023.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Por conseguinte, </w:t>
      </w:r>
      <w:r w:rsidR="00CA3C21" w:rsidRPr="00D01E89">
        <w:rPr>
          <w:rFonts w:ascii="Arial" w:hAnsi="Arial" w:cs="Arial"/>
          <w:sz w:val="24"/>
          <w:szCs w:val="24"/>
          <w:lang w:val="pt-BR"/>
        </w:rPr>
        <w:t xml:space="preserve">foi </w:t>
      </w:r>
      <w:r w:rsidR="00013B6B" w:rsidRPr="00D01E89">
        <w:rPr>
          <w:rFonts w:ascii="Arial" w:hAnsi="Arial" w:cs="Arial"/>
          <w:sz w:val="24"/>
          <w:szCs w:val="24"/>
          <w:lang w:val="pt-BR"/>
        </w:rPr>
        <w:t xml:space="preserve">acordado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prosseguir </w:t>
      </w:r>
      <w:r w:rsidR="00CA3C21" w:rsidRPr="00D01E89">
        <w:rPr>
          <w:rFonts w:ascii="Arial" w:hAnsi="Arial" w:cs="Arial"/>
          <w:sz w:val="24"/>
          <w:szCs w:val="24"/>
          <w:lang w:val="pt-BR"/>
        </w:rPr>
        <w:t xml:space="preserve">as negociações </w:t>
      </w:r>
      <w:r w:rsidR="00013B6B" w:rsidRPr="00D01E89">
        <w:rPr>
          <w:rFonts w:ascii="Arial" w:hAnsi="Arial" w:cs="Arial"/>
          <w:sz w:val="24"/>
          <w:szCs w:val="24"/>
          <w:lang w:val="pt-BR"/>
        </w:rPr>
        <w:t xml:space="preserve">sobre </w:t>
      </w:r>
      <w:r w:rsidR="00CA3C21" w:rsidRPr="00D01E89">
        <w:rPr>
          <w:rFonts w:ascii="Arial" w:hAnsi="Arial" w:cs="Arial"/>
          <w:sz w:val="24"/>
          <w:szCs w:val="24"/>
          <w:lang w:val="pt-BR"/>
        </w:rPr>
        <w:t xml:space="preserve">o </w:t>
      </w:r>
      <w:r w:rsidR="00F65491" w:rsidRPr="00D01E89">
        <w:rPr>
          <w:rFonts w:ascii="Arial" w:hAnsi="Arial" w:cs="Arial"/>
          <w:sz w:val="24"/>
          <w:szCs w:val="24"/>
          <w:lang w:val="pt-BR"/>
        </w:rPr>
        <w:t>proje</w:t>
      </w:r>
      <w:r w:rsidR="004C6578">
        <w:rPr>
          <w:rFonts w:ascii="Arial" w:hAnsi="Arial" w:cs="Arial"/>
          <w:sz w:val="24"/>
          <w:szCs w:val="24"/>
          <w:lang w:val="pt-BR"/>
        </w:rPr>
        <w:t>c</w:t>
      </w:r>
      <w:r w:rsidR="00F65491" w:rsidRPr="00D01E89">
        <w:rPr>
          <w:rFonts w:ascii="Arial" w:hAnsi="Arial" w:cs="Arial"/>
          <w:sz w:val="24"/>
          <w:szCs w:val="24"/>
          <w:lang w:val="pt-BR"/>
        </w:rPr>
        <w:t xml:space="preserve">to de </w:t>
      </w:r>
      <w:r w:rsidR="008176CE">
        <w:rPr>
          <w:rFonts w:ascii="Arial" w:hAnsi="Arial" w:cs="Arial"/>
          <w:sz w:val="24"/>
          <w:szCs w:val="24"/>
          <w:lang w:val="pt-BR"/>
        </w:rPr>
        <w:t>Directivas</w:t>
      </w:r>
      <w:r w:rsidR="00013B6B" w:rsidRPr="00D01E89">
        <w:rPr>
          <w:rFonts w:ascii="Arial" w:hAnsi="Arial" w:cs="Arial"/>
          <w:sz w:val="24"/>
          <w:szCs w:val="24"/>
          <w:lang w:val="pt-BR"/>
        </w:rPr>
        <w:t xml:space="preserve"> na próxima reunião dos serviços do TNF</w:t>
      </w:r>
      <w:r w:rsidR="00F65491" w:rsidRPr="00D01E89">
        <w:rPr>
          <w:rFonts w:ascii="Arial" w:hAnsi="Arial" w:cs="Arial"/>
          <w:sz w:val="24"/>
          <w:szCs w:val="24"/>
          <w:lang w:val="pt-BR"/>
        </w:rPr>
        <w:t xml:space="preserve">, prevista para </w:t>
      </w:r>
      <w:r w:rsidR="004C6578">
        <w:rPr>
          <w:rFonts w:ascii="Arial" w:hAnsi="Arial" w:cs="Arial"/>
          <w:sz w:val="24"/>
          <w:szCs w:val="24"/>
          <w:lang w:val="pt-BR"/>
        </w:rPr>
        <w:t>S</w:t>
      </w:r>
      <w:r w:rsidR="00F65491" w:rsidRPr="00D01E89">
        <w:rPr>
          <w:rFonts w:ascii="Arial" w:hAnsi="Arial" w:cs="Arial"/>
          <w:sz w:val="24"/>
          <w:szCs w:val="24"/>
          <w:lang w:val="pt-BR"/>
        </w:rPr>
        <w:t>etembro de 2023</w:t>
      </w:r>
      <w:r w:rsidR="008D71D0" w:rsidRPr="00D01E89">
        <w:rPr>
          <w:rFonts w:ascii="Arial" w:hAnsi="Arial" w:cs="Arial"/>
          <w:sz w:val="24"/>
          <w:szCs w:val="24"/>
          <w:lang w:val="pt-BR"/>
        </w:rPr>
        <w:t xml:space="preserve">, </w:t>
      </w:r>
      <w:r w:rsidR="00B321B7" w:rsidRPr="00D01E89">
        <w:rPr>
          <w:rFonts w:ascii="Arial" w:hAnsi="Arial" w:cs="Arial"/>
          <w:sz w:val="24"/>
          <w:szCs w:val="24"/>
          <w:lang w:val="pt-BR"/>
        </w:rPr>
        <w:t xml:space="preserve">numa </w:t>
      </w:r>
      <w:r w:rsidR="008D71D0" w:rsidRPr="00D01E89">
        <w:rPr>
          <w:rFonts w:ascii="Arial" w:hAnsi="Arial" w:cs="Arial"/>
          <w:sz w:val="24"/>
          <w:szCs w:val="24"/>
          <w:lang w:val="pt-BR"/>
        </w:rPr>
        <w:t>data a indicar pelo Secretariado</w:t>
      </w:r>
      <w:r w:rsidR="009E5750" w:rsidRPr="00D01E8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426008E2" w14:textId="77777777" w:rsidR="0019012A" w:rsidRDefault="00895CA3">
      <w:pPr>
        <w:pStyle w:val="ListParagraph"/>
        <w:spacing w:after="0" w:line="312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101A0">
        <w:rPr>
          <w:rFonts w:ascii="Arial" w:hAnsi="Arial" w:cs="Arial"/>
          <w:sz w:val="24"/>
          <w:szCs w:val="24"/>
        </w:rPr>
        <w:t>_______</w:t>
      </w:r>
    </w:p>
    <w:sectPr w:rsidR="0019012A" w:rsidSect="00622F66">
      <w:footerReference w:type="default" r:id="rId9"/>
      <w:pgSz w:w="11906" w:h="16838"/>
      <w:pgMar w:top="1276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15BA" w14:textId="77777777" w:rsidR="00442DC4" w:rsidRDefault="00442DC4" w:rsidP="00200FC4">
      <w:pPr>
        <w:spacing w:after="0" w:line="240" w:lineRule="auto"/>
      </w:pPr>
      <w:r>
        <w:separator/>
      </w:r>
    </w:p>
  </w:endnote>
  <w:endnote w:type="continuationSeparator" w:id="0">
    <w:p w14:paraId="25185BB2" w14:textId="77777777" w:rsidR="00442DC4" w:rsidRDefault="00442DC4" w:rsidP="0020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otham-Boo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483E" w14:textId="77777777" w:rsidR="0019012A" w:rsidRDefault="00895CA3">
    <w:pPr>
      <w:pStyle w:val="Footer"/>
      <w:jc w:val="center"/>
      <w:rPr>
        <w:rFonts w:ascii="Arial" w:hAnsi="Arial" w:cs="Arial"/>
      </w:rPr>
    </w:pPr>
    <w:r w:rsidRPr="00200FC4">
      <w:rPr>
        <w:rFonts w:ascii="Arial" w:hAnsi="Arial" w:cs="Arial"/>
      </w:rPr>
      <w:fldChar w:fldCharType="begin"/>
    </w:r>
    <w:r w:rsidRPr="00200FC4">
      <w:rPr>
        <w:rFonts w:ascii="Arial" w:hAnsi="Arial" w:cs="Arial"/>
      </w:rPr>
      <w:instrText xml:space="preserve"> PAGE   \* MERGEFORMAT </w:instrText>
    </w:r>
    <w:r w:rsidRPr="00200FC4">
      <w:rPr>
        <w:rFonts w:ascii="Arial" w:hAnsi="Arial" w:cs="Arial"/>
      </w:rPr>
      <w:fldChar w:fldCharType="separate"/>
    </w:r>
    <w:r w:rsidRPr="00200FC4">
      <w:rPr>
        <w:rFonts w:ascii="Arial" w:hAnsi="Arial" w:cs="Arial"/>
        <w:noProof/>
      </w:rPr>
      <w:t>2</w:t>
    </w:r>
    <w:r w:rsidRPr="00200FC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A063" w14:textId="77777777" w:rsidR="00442DC4" w:rsidRDefault="00442DC4" w:rsidP="00200FC4">
      <w:pPr>
        <w:spacing w:after="0" w:line="240" w:lineRule="auto"/>
      </w:pPr>
      <w:r>
        <w:separator/>
      </w:r>
    </w:p>
  </w:footnote>
  <w:footnote w:type="continuationSeparator" w:id="0">
    <w:p w14:paraId="3DB674C9" w14:textId="77777777" w:rsidR="00442DC4" w:rsidRDefault="00442DC4" w:rsidP="0020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243"/>
    <w:multiLevelType w:val="hybridMultilevel"/>
    <w:tmpl w:val="FFFFFFFF"/>
    <w:lvl w:ilvl="0" w:tplc="B0FE9D3C">
      <w:start w:val="9"/>
      <w:numFmt w:val="lowerLetter"/>
      <w:lvlText w:val="(%1)"/>
      <w:lvlJc w:val="left"/>
      <w:pPr>
        <w:ind w:left="1211" w:hanging="360"/>
      </w:pPr>
      <w:rPr>
        <w:rFonts w:cs="Times New Roman" w:hint="default"/>
      </w:rPr>
    </w:lvl>
    <w:lvl w:ilvl="1" w:tplc="69B4BF9E">
      <w:start w:val="1"/>
      <w:numFmt w:val="lowerLetter"/>
      <w:lvlText w:val="(%2)"/>
      <w:lvlJc w:val="left"/>
      <w:pPr>
        <w:ind w:left="1931" w:hanging="360"/>
      </w:pPr>
      <w:rPr>
        <w:rFonts w:ascii="Arial" w:eastAsia="Times New Roman" w:hAnsi="Arial" w:cs="Arial"/>
      </w:rPr>
    </w:lvl>
    <w:lvl w:ilvl="2" w:tplc="F8C8CEC8">
      <w:start w:val="1"/>
      <w:numFmt w:val="lowerLetter"/>
      <w:lvlText w:val="(%3)"/>
      <w:lvlJc w:val="left"/>
      <w:pPr>
        <w:ind w:left="2831" w:hanging="360"/>
      </w:pPr>
      <w:rPr>
        <w:rFonts w:cs="Times New Roman" w:hint="default"/>
      </w:rPr>
    </w:lvl>
    <w:lvl w:ilvl="3" w:tplc="1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E62CCA"/>
    <w:multiLevelType w:val="hybridMultilevel"/>
    <w:tmpl w:val="FFFFFFFF"/>
    <w:lvl w:ilvl="0" w:tplc="FB0C7DEA">
      <w:start w:val="1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27F42"/>
    <w:multiLevelType w:val="hybridMultilevel"/>
    <w:tmpl w:val="FFFFFFFF"/>
    <w:lvl w:ilvl="0" w:tplc="0464DF46">
      <w:start w:val="1"/>
      <w:numFmt w:val="lowerRoman"/>
      <w:lvlText w:val="(%1)"/>
      <w:lvlJc w:val="left"/>
      <w:pPr>
        <w:ind w:left="15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3" w15:restartNumberingAfterBreak="0">
    <w:nsid w:val="0D6C14A1"/>
    <w:multiLevelType w:val="hybridMultilevel"/>
    <w:tmpl w:val="FFFFFFFF"/>
    <w:lvl w:ilvl="0" w:tplc="2BBAC78A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29518A5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24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abstractNum w:abstractNumId="5" w15:restartNumberingAfterBreak="0">
    <w:nsid w:val="17F3689D"/>
    <w:multiLevelType w:val="hybridMultilevel"/>
    <w:tmpl w:val="FFFFFFFF"/>
    <w:lvl w:ilvl="0" w:tplc="0B809FD4">
      <w:start w:val="1"/>
      <w:numFmt w:val="lowerRoman"/>
      <w:lvlText w:val="%1."/>
      <w:lvlJc w:val="right"/>
      <w:pPr>
        <w:ind w:left="23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 w15:restartNumberingAfterBreak="0">
    <w:nsid w:val="18053626"/>
    <w:multiLevelType w:val="hybridMultilevel"/>
    <w:tmpl w:val="FFFFFFFF"/>
    <w:lvl w:ilvl="0" w:tplc="DC3C7C94">
      <w:start w:val="2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980FD3"/>
    <w:multiLevelType w:val="hybridMultilevel"/>
    <w:tmpl w:val="FFFFFFFF"/>
    <w:lvl w:ilvl="0" w:tplc="FFFFFFFF">
      <w:start w:val="1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E311F7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5367CB"/>
    <w:multiLevelType w:val="hybridMultilevel"/>
    <w:tmpl w:val="FFFFFFFF"/>
    <w:lvl w:ilvl="0" w:tplc="DC3C7C94">
      <w:start w:val="2"/>
      <w:numFmt w:val="lowerRoman"/>
      <w:lvlText w:val="(%1)"/>
      <w:lvlJc w:val="left"/>
      <w:pPr>
        <w:ind w:left="1211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2A582620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FE06AA"/>
    <w:multiLevelType w:val="hybridMultilevel"/>
    <w:tmpl w:val="FFFFFFFF"/>
    <w:lvl w:ilvl="0" w:tplc="FB0C7DEA">
      <w:start w:val="1"/>
      <w:numFmt w:val="lowerRoman"/>
      <w:lvlText w:val="(%1)"/>
      <w:lvlJc w:val="left"/>
      <w:pPr>
        <w:ind w:left="2422" w:hanging="360"/>
      </w:pPr>
      <w:rPr>
        <w:rFonts w:cs="Times New Roman" w:hint="default"/>
      </w:rPr>
    </w:lvl>
    <w:lvl w:ilvl="1" w:tplc="DC3C7C94">
      <w:start w:val="2"/>
      <w:numFmt w:val="lowerRoman"/>
      <w:lvlText w:val="(%2)"/>
      <w:lvlJc w:val="left"/>
      <w:pPr>
        <w:ind w:left="157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BFB7AD9"/>
    <w:multiLevelType w:val="hybridMultilevel"/>
    <w:tmpl w:val="FFFFFFFF"/>
    <w:lvl w:ilvl="0" w:tplc="80641D66">
      <w:start w:val="1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765CE9"/>
    <w:multiLevelType w:val="hybridMultilevel"/>
    <w:tmpl w:val="FFFFFFFF"/>
    <w:lvl w:ilvl="0" w:tplc="16D2ED9C">
      <w:start w:val="1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0A46A6"/>
    <w:multiLevelType w:val="hybridMultilevel"/>
    <w:tmpl w:val="FFFFFFFF"/>
    <w:lvl w:ilvl="0" w:tplc="EABCD752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358859B9"/>
    <w:multiLevelType w:val="hybridMultilevel"/>
    <w:tmpl w:val="FFFFFFFF"/>
    <w:lvl w:ilvl="0" w:tplc="2A9E69D6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391F1964"/>
    <w:multiLevelType w:val="hybridMultilevel"/>
    <w:tmpl w:val="FFFFFFFF"/>
    <w:lvl w:ilvl="0" w:tplc="FFFFFFFF">
      <w:start w:val="1"/>
      <w:numFmt w:val="lowerRoman"/>
      <w:lvlText w:val="(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D20F50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2160" w:hanging="72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460910B5"/>
    <w:multiLevelType w:val="hybridMultilevel"/>
    <w:tmpl w:val="FFFFFFFF"/>
    <w:lvl w:ilvl="0" w:tplc="DC3C7C94">
      <w:start w:val="2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4D021D9B"/>
    <w:multiLevelType w:val="hybridMultilevel"/>
    <w:tmpl w:val="FFFFFFFF"/>
    <w:lvl w:ilvl="0" w:tplc="DC3C7C94">
      <w:start w:val="2"/>
      <w:numFmt w:val="lowerRoman"/>
      <w:lvlText w:val="(%1)"/>
      <w:lvlJc w:val="left"/>
      <w:pPr>
        <w:ind w:left="1571" w:hanging="72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6000272E"/>
    <w:multiLevelType w:val="hybridMultilevel"/>
    <w:tmpl w:val="FFFFFFFF"/>
    <w:lvl w:ilvl="0" w:tplc="606C8E3E">
      <w:start w:val="1"/>
      <w:numFmt w:val="lowerRoman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DB16BD"/>
    <w:multiLevelType w:val="hybridMultilevel"/>
    <w:tmpl w:val="FFFFFFFF"/>
    <w:lvl w:ilvl="0" w:tplc="FFFFFFFF">
      <w:start w:val="2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722D7C79"/>
    <w:multiLevelType w:val="hybridMultilevel"/>
    <w:tmpl w:val="FFFFFFFF"/>
    <w:lvl w:ilvl="0" w:tplc="270076C6">
      <w:start w:val="1"/>
      <w:numFmt w:val="lowerRoman"/>
      <w:lvlText w:val="(%1)"/>
      <w:lvlJc w:val="left"/>
      <w:pPr>
        <w:ind w:left="1571" w:hanging="72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7362390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4F368EB"/>
    <w:multiLevelType w:val="hybridMultilevel"/>
    <w:tmpl w:val="FFFFFFFF"/>
    <w:lvl w:ilvl="0" w:tplc="B3C4EFEA">
      <w:start w:val="1"/>
      <w:numFmt w:val="lowerRoman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07223C"/>
    <w:multiLevelType w:val="hybridMultilevel"/>
    <w:tmpl w:val="FFFFFFFF"/>
    <w:lvl w:ilvl="0" w:tplc="B762DF50">
      <w:start w:val="1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680A6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F280065"/>
    <w:multiLevelType w:val="hybridMultilevel"/>
    <w:tmpl w:val="FFFFFFFF"/>
    <w:lvl w:ilvl="0" w:tplc="DC3C7C94">
      <w:start w:val="2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FC03E39"/>
    <w:multiLevelType w:val="hybridMultilevel"/>
    <w:tmpl w:val="FFFFFFFF"/>
    <w:lvl w:ilvl="0" w:tplc="D5CC6F40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340698002">
    <w:abstractNumId w:val="26"/>
  </w:num>
  <w:num w:numId="2" w16cid:durableId="956647034">
    <w:abstractNumId w:val="9"/>
  </w:num>
  <w:num w:numId="3" w16cid:durableId="1736198465">
    <w:abstractNumId w:val="3"/>
  </w:num>
  <w:num w:numId="4" w16cid:durableId="261648962">
    <w:abstractNumId w:val="0"/>
  </w:num>
  <w:num w:numId="5" w16cid:durableId="265505204">
    <w:abstractNumId w:val="19"/>
  </w:num>
  <w:num w:numId="6" w16cid:durableId="972641452">
    <w:abstractNumId w:val="15"/>
  </w:num>
  <w:num w:numId="7" w16cid:durableId="72119319">
    <w:abstractNumId w:val="22"/>
  </w:num>
  <w:num w:numId="8" w16cid:durableId="1929537096">
    <w:abstractNumId w:val="17"/>
  </w:num>
  <w:num w:numId="9" w16cid:durableId="349064841">
    <w:abstractNumId w:val="20"/>
  </w:num>
  <w:num w:numId="10" w16cid:durableId="573318994">
    <w:abstractNumId w:val="18"/>
  </w:num>
  <w:num w:numId="11" w16cid:durableId="1098331364">
    <w:abstractNumId w:val="16"/>
  </w:num>
  <w:num w:numId="12" w16cid:durableId="1208569278">
    <w:abstractNumId w:val="27"/>
  </w:num>
  <w:num w:numId="13" w16cid:durableId="1155953663">
    <w:abstractNumId w:val="21"/>
  </w:num>
  <w:num w:numId="14" w16cid:durableId="1618564183">
    <w:abstractNumId w:val="24"/>
  </w:num>
  <w:num w:numId="15" w16cid:durableId="1169715704">
    <w:abstractNumId w:val="13"/>
  </w:num>
  <w:num w:numId="16" w16cid:durableId="57482007">
    <w:abstractNumId w:val="4"/>
  </w:num>
  <w:num w:numId="17" w16cid:durableId="2005158080">
    <w:abstractNumId w:val="14"/>
  </w:num>
  <w:num w:numId="18" w16cid:durableId="731394172">
    <w:abstractNumId w:val="8"/>
  </w:num>
  <w:num w:numId="19" w16cid:durableId="1373963532">
    <w:abstractNumId w:val="10"/>
  </w:num>
  <w:num w:numId="20" w16cid:durableId="1367096247">
    <w:abstractNumId w:val="12"/>
  </w:num>
  <w:num w:numId="21" w16cid:durableId="369762581">
    <w:abstractNumId w:val="28"/>
  </w:num>
  <w:num w:numId="22" w16cid:durableId="1586111415">
    <w:abstractNumId w:val="6"/>
  </w:num>
  <w:num w:numId="23" w16cid:durableId="1323705520">
    <w:abstractNumId w:val="25"/>
  </w:num>
  <w:num w:numId="24" w16cid:durableId="888108570">
    <w:abstractNumId w:val="23"/>
  </w:num>
  <w:num w:numId="25" w16cid:durableId="290215504">
    <w:abstractNumId w:val="1"/>
  </w:num>
  <w:num w:numId="26" w16cid:durableId="343019007">
    <w:abstractNumId w:val="11"/>
  </w:num>
  <w:num w:numId="27" w16cid:durableId="425077311">
    <w:abstractNumId w:val="7"/>
  </w:num>
  <w:num w:numId="28" w16cid:durableId="1611741941">
    <w:abstractNumId w:val="2"/>
  </w:num>
  <w:num w:numId="29" w16cid:durableId="21728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3NDcxMrM0NDKwNDVV0lEKTi0uzszPAykwqgUAYDkEsywAAAA="/>
  </w:docVars>
  <w:rsids>
    <w:rsidRoot w:val="00741D16"/>
    <w:rsid w:val="00001F93"/>
    <w:rsid w:val="000043E6"/>
    <w:rsid w:val="00007564"/>
    <w:rsid w:val="00013B6B"/>
    <w:rsid w:val="0001574E"/>
    <w:rsid w:val="00021C96"/>
    <w:rsid w:val="000221A5"/>
    <w:rsid w:val="00022C81"/>
    <w:rsid w:val="00024342"/>
    <w:rsid w:val="00034D63"/>
    <w:rsid w:val="00035198"/>
    <w:rsid w:val="000354F1"/>
    <w:rsid w:val="00037D51"/>
    <w:rsid w:val="0004329D"/>
    <w:rsid w:val="00043AC4"/>
    <w:rsid w:val="00044D3D"/>
    <w:rsid w:val="000463CD"/>
    <w:rsid w:val="0004707D"/>
    <w:rsid w:val="00047647"/>
    <w:rsid w:val="0005293F"/>
    <w:rsid w:val="00053F01"/>
    <w:rsid w:val="0005450B"/>
    <w:rsid w:val="00055062"/>
    <w:rsid w:val="0005590F"/>
    <w:rsid w:val="00057327"/>
    <w:rsid w:val="00057A84"/>
    <w:rsid w:val="00057F20"/>
    <w:rsid w:val="00060DCD"/>
    <w:rsid w:val="000645D7"/>
    <w:rsid w:val="000676A2"/>
    <w:rsid w:val="0006778B"/>
    <w:rsid w:val="00070CA8"/>
    <w:rsid w:val="0007103A"/>
    <w:rsid w:val="000743A5"/>
    <w:rsid w:val="00075A45"/>
    <w:rsid w:val="00075AC5"/>
    <w:rsid w:val="00081E2F"/>
    <w:rsid w:val="00082299"/>
    <w:rsid w:val="0008232E"/>
    <w:rsid w:val="00084379"/>
    <w:rsid w:val="00084CCF"/>
    <w:rsid w:val="00085748"/>
    <w:rsid w:val="00086C17"/>
    <w:rsid w:val="00086FB4"/>
    <w:rsid w:val="00090F4D"/>
    <w:rsid w:val="00093465"/>
    <w:rsid w:val="000953A4"/>
    <w:rsid w:val="00096807"/>
    <w:rsid w:val="00096F8C"/>
    <w:rsid w:val="000A1B4B"/>
    <w:rsid w:val="000A408E"/>
    <w:rsid w:val="000A40BC"/>
    <w:rsid w:val="000A717C"/>
    <w:rsid w:val="000A7B6E"/>
    <w:rsid w:val="000B0C78"/>
    <w:rsid w:val="000B3D15"/>
    <w:rsid w:val="000B4382"/>
    <w:rsid w:val="000B4AA3"/>
    <w:rsid w:val="000B506F"/>
    <w:rsid w:val="000B50A9"/>
    <w:rsid w:val="000C00A4"/>
    <w:rsid w:val="000C2C6D"/>
    <w:rsid w:val="000C6912"/>
    <w:rsid w:val="000D0171"/>
    <w:rsid w:val="000D0174"/>
    <w:rsid w:val="000D7D56"/>
    <w:rsid w:val="000E0860"/>
    <w:rsid w:val="000E0C7E"/>
    <w:rsid w:val="000E1C12"/>
    <w:rsid w:val="000E3A3B"/>
    <w:rsid w:val="000E5A05"/>
    <w:rsid w:val="000E726B"/>
    <w:rsid w:val="000F1764"/>
    <w:rsid w:val="000F7A01"/>
    <w:rsid w:val="001011B2"/>
    <w:rsid w:val="001030F8"/>
    <w:rsid w:val="00103EA0"/>
    <w:rsid w:val="00105128"/>
    <w:rsid w:val="001055D5"/>
    <w:rsid w:val="00106938"/>
    <w:rsid w:val="0010777F"/>
    <w:rsid w:val="00112631"/>
    <w:rsid w:val="001178C9"/>
    <w:rsid w:val="00120EB6"/>
    <w:rsid w:val="00121B3D"/>
    <w:rsid w:val="00122DE6"/>
    <w:rsid w:val="001230D4"/>
    <w:rsid w:val="001268F3"/>
    <w:rsid w:val="001315A9"/>
    <w:rsid w:val="0013160A"/>
    <w:rsid w:val="00134770"/>
    <w:rsid w:val="00141097"/>
    <w:rsid w:val="00143989"/>
    <w:rsid w:val="00155BB1"/>
    <w:rsid w:val="00156016"/>
    <w:rsid w:val="001560B0"/>
    <w:rsid w:val="001602B6"/>
    <w:rsid w:val="001605E9"/>
    <w:rsid w:val="00160EC5"/>
    <w:rsid w:val="00160F00"/>
    <w:rsid w:val="001623B7"/>
    <w:rsid w:val="0016404A"/>
    <w:rsid w:val="0016582F"/>
    <w:rsid w:val="001658A2"/>
    <w:rsid w:val="00170785"/>
    <w:rsid w:val="00170A3A"/>
    <w:rsid w:val="001740CA"/>
    <w:rsid w:val="00174518"/>
    <w:rsid w:val="001746A9"/>
    <w:rsid w:val="00175B5C"/>
    <w:rsid w:val="00175E0B"/>
    <w:rsid w:val="00175E3E"/>
    <w:rsid w:val="00177BE4"/>
    <w:rsid w:val="00181EA0"/>
    <w:rsid w:val="0018252B"/>
    <w:rsid w:val="00185529"/>
    <w:rsid w:val="00186AD2"/>
    <w:rsid w:val="0019012A"/>
    <w:rsid w:val="00192BA3"/>
    <w:rsid w:val="00194C2E"/>
    <w:rsid w:val="00195AAD"/>
    <w:rsid w:val="00195D31"/>
    <w:rsid w:val="0019746F"/>
    <w:rsid w:val="001A0202"/>
    <w:rsid w:val="001A3A90"/>
    <w:rsid w:val="001A7320"/>
    <w:rsid w:val="001A74FF"/>
    <w:rsid w:val="001B0FD6"/>
    <w:rsid w:val="001B3A26"/>
    <w:rsid w:val="001B40C1"/>
    <w:rsid w:val="001B570B"/>
    <w:rsid w:val="001B60F8"/>
    <w:rsid w:val="001C0452"/>
    <w:rsid w:val="001C19F6"/>
    <w:rsid w:val="001C3385"/>
    <w:rsid w:val="001C38AE"/>
    <w:rsid w:val="001C4BDF"/>
    <w:rsid w:val="001C74E7"/>
    <w:rsid w:val="001D10D8"/>
    <w:rsid w:val="001D2042"/>
    <w:rsid w:val="001D502E"/>
    <w:rsid w:val="001E17F3"/>
    <w:rsid w:val="001E1970"/>
    <w:rsid w:val="001E4EAF"/>
    <w:rsid w:val="001F0F57"/>
    <w:rsid w:val="001F3BD7"/>
    <w:rsid w:val="001F4F0E"/>
    <w:rsid w:val="00200FC4"/>
    <w:rsid w:val="00201557"/>
    <w:rsid w:val="00202459"/>
    <w:rsid w:val="002044CD"/>
    <w:rsid w:val="0020537C"/>
    <w:rsid w:val="00207805"/>
    <w:rsid w:val="002114F2"/>
    <w:rsid w:val="00211BE5"/>
    <w:rsid w:val="00213D80"/>
    <w:rsid w:val="00215D60"/>
    <w:rsid w:val="002163A2"/>
    <w:rsid w:val="0021723B"/>
    <w:rsid w:val="00223946"/>
    <w:rsid w:val="002245B1"/>
    <w:rsid w:val="00225D59"/>
    <w:rsid w:val="002278D9"/>
    <w:rsid w:val="0023401C"/>
    <w:rsid w:val="002345BE"/>
    <w:rsid w:val="0023608B"/>
    <w:rsid w:val="002375DD"/>
    <w:rsid w:val="00240C4B"/>
    <w:rsid w:val="00241EA9"/>
    <w:rsid w:val="00244456"/>
    <w:rsid w:val="00244B95"/>
    <w:rsid w:val="00246090"/>
    <w:rsid w:val="00247AC4"/>
    <w:rsid w:val="00250654"/>
    <w:rsid w:val="00251A26"/>
    <w:rsid w:val="0025229B"/>
    <w:rsid w:val="00253549"/>
    <w:rsid w:val="00253EEA"/>
    <w:rsid w:val="00256EE5"/>
    <w:rsid w:val="0026059B"/>
    <w:rsid w:val="0026220C"/>
    <w:rsid w:val="00262292"/>
    <w:rsid w:val="00262FD4"/>
    <w:rsid w:val="0026504D"/>
    <w:rsid w:val="00266321"/>
    <w:rsid w:val="0027050D"/>
    <w:rsid w:val="00271D54"/>
    <w:rsid w:val="00272758"/>
    <w:rsid w:val="00273778"/>
    <w:rsid w:val="002737AD"/>
    <w:rsid w:val="002764E5"/>
    <w:rsid w:val="00285F18"/>
    <w:rsid w:val="002865B3"/>
    <w:rsid w:val="00290341"/>
    <w:rsid w:val="002934A3"/>
    <w:rsid w:val="002936E4"/>
    <w:rsid w:val="00294DB1"/>
    <w:rsid w:val="0029659F"/>
    <w:rsid w:val="00297A3C"/>
    <w:rsid w:val="002A0277"/>
    <w:rsid w:val="002A075E"/>
    <w:rsid w:val="002A53AB"/>
    <w:rsid w:val="002A6DF2"/>
    <w:rsid w:val="002A708A"/>
    <w:rsid w:val="002A728E"/>
    <w:rsid w:val="002A7994"/>
    <w:rsid w:val="002B1216"/>
    <w:rsid w:val="002B15B5"/>
    <w:rsid w:val="002B1E4A"/>
    <w:rsid w:val="002B5546"/>
    <w:rsid w:val="002B68DB"/>
    <w:rsid w:val="002B6A5A"/>
    <w:rsid w:val="002B6CF2"/>
    <w:rsid w:val="002B7900"/>
    <w:rsid w:val="002C0744"/>
    <w:rsid w:val="002C4E79"/>
    <w:rsid w:val="002D133A"/>
    <w:rsid w:val="002D3BC1"/>
    <w:rsid w:val="002D3C0B"/>
    <w:rsid w:val="002E1EAB"/>
    <w:rsid w:val="002E5E84"/>
    <w:rsid w:val="002E6077"/>
    <w:rsid w:val="002F1FD2"/>
    <w:rsid w:val="00300072"/>
    <w:rsid w:val="00303017"/>
    <w:rsid w:val="00304247"/>
    <w:rsid w:val="003057CF"/>
    <w:rsid w:val="0031177D"/>
    <w:rsid w:val="0031303F"/>
    <w:rsid w:val="0031350A"/>
    <w:rsid w:val="00317B9D"/>
    <w:rsid w:val="003209C3"/>
    <w:rsid w:val="00324063"/>
    <w:rsid w:val="003249B9"/>
    <w:rsid w:val="00325D5D"/>
    <w:rsid w:val="00326CAC"/>
    <w:rsid w:val="00327414"/>
    <w:rsid w:val="00330971"/>
    <w:rsid w:val="00331A4E"/>
    <w:rsid w:val="0033309C"/>
    <w:rsid w:val="0033367D"/>
    <w:rsid w:val="00334483"/>
    <w:rsid w:val="00334EF8"/>
    <w:rsid w:val="00345857"/>
    <w:rsid w:val="00345A47"/>
    <w:rsid w:val="00345B3E"/>
    <w:rsid w:val="0034789F"/>
    <w:rsid w:val="003519D1"/>
    <w:rsid w:val="00351F25"/>
    <w:rsid w:val="00354F09"/>
    <w:rsid w:val="00354FDF"/>
    <w:rsid w:val="00355FCA"/>
    <w:rsid w:val="003571F8"/>
    <w:rsid w:val="003623A9"/>
    <w:rsid w:val="003657A9"/>
    <w:rsid w:val="00374975"/>
    <w:rsid w:val="0037588D"/>
    <w:rsid w:val="00385FE3"/>
    <w:rsid w:val="0038688D"/>
    <w:rsid w:val="0038763B"/>
    <w:rsid w:val="003923FB"/>
    <w:rsid w:val="0039281D"/>
    <w:rsid w:val="00392D0E"/>
    <w:rsid w:val="003958EF"/>
    <w:rsid w:val="00396684"/>
    <w:rsid w:val="003A00B7"/>
    <w:rsid w:val="003A087E"/>
    <w:rsid w:val="003A0D50"/>
    <w:rsid w:val="003A18DF"/>
    <w:rsid w:val="003A2FC1"/>
    <w:rsid w:val="003A4195"/>
    <w:rsid w:val="003A642C"/>
    <w:rsid w:val="003B0F97"/>
    <w:rsid w:val="003B112F"/>
    <w:rsid w:val="003B23F3"/>
    <w:rsid w:val="003B3176"/>
    <w:rsid w:val="003B31A8"/>
    <w:rsid w:val="003B47FF"/>
    <w:rsid w:val="003B6E86"/>
    <w:rsid w:val="003B7359"/>
    <w:rsid w:val="003C19AA"/>
    <w:rsid w:val="003C1A54"/>
    <w:rsid w:val="003C2591"/>
    <w:rsid w:val="003C3E48"/>
    <w:rsid w:val="003C63DB"/>
    <w:rsid w:val="003C7826"/>
    <w:rsid w:val="003C7D90"/>
    <w:rsid w:val="003D1C3C"/>
    <w:rsid w:val="003D26B5"/>
    <w:rsid w:val="003D2845"/>
    <w:rsid w:val="003D2D83"/>
    <w:rsid w:val="003D482F"/>
    <w:rsid w:val="003D48B6"/>
    <w:rsid w:val="003D7824"/>
    <w:rsid w:val="003E1676"/>
    <w:rsid w:val="003E1D28"/>
    <w:rsid w:val="003E1DF3"/>
    <w:rsid w:val="003E572E"/>
    <w:rsid w:val="003E58FD"/>
    <w:rsid w:val="003E7F47"/>
    <w:rsid w:val="003F00C4"/>
    <w:rsid w:val="003F325A"/>
    <w:rsid w:val="004025EB"/>
    <w:rsid w:val="00403022"/>
    <w:rsid w:val="0040365F"/>
    <w:rsid w:val="00405F1D"/>
    <w:rsid w:val="00413741"/>
    <w:rsid w:val="00413891"/>
    <w:rsid w:val="00416E40"/>
    <w:rsid w:val="0041766D"/>
    <w:rsid w:val="004176FE"/>
    <w:rsid w:val="0042077A"/>
    <w:rsid w:val="004210A9"/>
    <w:rsid w:val="00421D94"/>
    <w:rsid w:val="004267F2"/>
    <w:rsid w:val="00426BD7"/>
    <w:rsid w:val="00432FF4"/>
    <w:rsid w:val="00441B0D"/>
    <w:rsid w:val="00442DC4"/>
    <w:rsid w:val="0044593E"/>
    <w:rsid w:val="00446128"/>
    <w:rsid w:val="00447213"/>
    <w:rsid w:val="00451123"/>
    <w:rsid w:val="00451311"/>
    <w:rsid w:val="00451E1E"/>
    <w:rsid w:val="004521B9"/>
    <w:rsid w:val="004543E4"/>
    <w:rsid w:val="00454715"/>
    <w:rsid w:val="004561BD"/>
    <w:rsid w:val="00456998"/>
    <w:rsid w:val="00457EAB"/>
    <w:rsid w:val="004605C3"/>
    <w:rsid w:val="00460A6B"/>
    <w:rsid w:val="00461A03"/>
    <w:rsid w:val="004635D9"/>
    <w:rsid w:val="00463B52"/>
    <w:rsid w:val="00464574"/>
    <w:rsid w:val="00464A38"/>
    <w:rsid w:val="00465347"/>
    <w:rsid w:val="0046629F"/>
    <w:rsid w:val="004665A8"/>
    <w:rsid w:val="00466C44"/>
    <w:rsid w:val="0046701A"/>
    <w:rsid w:val="00473EA1"/>
    <w:rsid w:val="0047478B"/>
    <w:rsid w:val="00475604"/>
    <w:rsid w:val="0047674F"/>
    <w:rsid w:val="00476819"/>
    <w:rsid w:val="00476A0F"/>
    <w:rsid w:val="004801FF"/>
    <w:rsid w:val="00480473"/>
    <w:rsid w:val="00485966"/>
    <w:rsid w:val="00485978"/>
    <w:rsid w:val="00486EE9"/>
    <w:rsid w:val="00487996"/>
    <w:rsid w:val="004926D7"/>
    <w:rsid w:val="004945E8"/>
    <w:rsid w:val="00495FAA"/>
    <w:rsid w:val="00496621"/>
    <w:rsid w:val="00496EA5"/>
    <w:rsid w:val="0049710C"/>
    <w:rsid w:val="004A232E"/>
    <w:rsid w:val="004A24D5"/>
    <w:rsid w:val="004A2B96"/>
    <w:rsid w:val="004A2BC8"/>
    <w:rsid w:val="004A2EA0"/>
    <w:rsid w:val="004A559E"/>
    <w:rsid w:val="004A7FB9"/>
    <w:rsid w:val="004B23F0"/>
    <w:rsid w:val="004B2CA3"/>
    <w:rsid w:val="004B2DF5"/>
    <w:rsid w:val="004B4D6C"/>
    <w:rsid w:val="004B4F46"/>
    <w:rsid w:val="004C2CF7"/>
    <w:rsid w:val="004C3D5C"/>
    <w:rsid w:val="004C6578"/>
    <w:rsid w:val="004C67E2"/>
    <w:rsid w:val="004D113A"/>
    <w:rsid w:val="004D1B43"/>
    <w:rsid w:val="004E01C7"/>
    <w:rsid w:val="004E03A4"/>
    <w:rsid w:val="004E0492"/>
    <w:rsid w:val="004E0A1B"/>
    <w:rsid w:val="004E0D9A"/>
    <w:rsid w:val="004E363A"/>
    <w:rsid w:val="004E380C"/>
    <w:rsid w:val="004E4D16"/>
    <w:rsid w:val="004E50F7"/>
    <w:rsid w:val="004E556A"/>
    <w:rsid w:val="004F0B9E"/>
    <w:rsid w:val="004F1246"/>
    <w:rsid w:val="004F1737"/>
    <w:rsid w:val="004F1A26"/>
    <w:rsid w:val="004F2464"/>
    <w:rsid w:val="004F6506"/>
    <w:rsid w:val="004F7170"/>
    <w:rsid w:val="0050085E"/>
    <w:rsid w:val="00500FED"/>
    <w:rsid w:val="00502E9B"/>
    <w:rsid w:val="00504A26"/>
    <w:rsid w:val="00507A4C"/>
    <w:rsid w:val="00512F96"/>
    <w:rsid w:val="00513E02"/>
    <w:rsid w:val="00514238"/>
    <w:rsid w:val="00514A21"/>
    <w:rsid w:val="00517CF7"/>
    <w:rsid w:val="00517DAF"/>
    <w:rsid w:val="005223BD"/>
    <w:rsid w:val="005246A2"/>
    <w:rsid w:val="0052742A"/>
    <w:rsid w:val="00531F04"/>
    <w:rsid w:val="00535C87"/>
    <w:rsid w:val="00536C24"/>
    <w:rsid w:val="00537E77"/>
    <w:rsid w:val="00541489"/>
    <w:rsid w:val="00543A77"/>
    <w:rsid w:val="005501D2"/>
    <w:rsid w:val="00550891"/>
    <w:rsid w:val="00552ED9"/>
    <w:rsid w:val="0055437E"/>
    <w:rsid w:val="00556538"/>
    <w:rsid w:val="00563C07"/>
    <w:rsid w:val="005661C3"/>
    <w:rsid w:val="00566602"/>
    <w:rsid w:val="0057525F"/>
    <w:rsid w:val="005758D9"/>
    <w:rsid w:val="00575A9C"/>
    <w:rsid w:val="005769B5"/>
    <w:rsid w:val="0058050F"/>
    <w:rsid w:val="00580FE6"/>
    <w:rsid w:val="00583725"/>
    <w:rsid w:val="00583D03"/>
    <w:rsid w:val="00585AAE"/>
    <w:rsid w:val="005910E5"/>
    <w:rsid w:val="00591DB8"/>
    <w:rsid w:val="00593F4E"/>
    <w:rsid w:val="00594324"/>
    <w:rsid w:val="00595212"/>
    <w:rsid w:val="00597382"/>
    <w:rsid w:val="005A0381"/>
    <w:rsid w:val="005A26FD"/>
    <w:rsid w:val="005A55F5"/>
    <w:rsid w:val="005A7150"/>
    <w:rsid w:val="005A7A37"/>
    <w:rsid w:val="005B238D"/>
    <w:rsid w:val="005B58B9"/>
    <w:rsid w:val="005B646F"/>
    <w:rsid w:val="005C1505"/>
    <w:rsid w:val="005C5867"/>
    <w:rsid w:val="005C7057"/>
    <w:rsid w:val="005D16F1"/>
    <w:rsid w:val="005D1EEE"/>
    <w:rsid w:val="005D250C"/>
    <w:rsid w:val="005E038F"/>
    <w:rsid w:val="005E1101"/>
    <w:rsid w:val="005E247A"/>
    <w:rsid w:val="005E34CB"/>
    <w:rsid w:val="005F0942"/>
    <w:rsid w:val="005F0DE8"/>
    <w:rsid w:val="005F163F"/>
    <w:rsid w:val="005F1C32"/>
    <w:rsid w:val="00600EC6"/>
    <w:rsid w:val="006017D4"/>
    <w:rsid w:val="00602E8E"/>
    <w:rsid w:val="00603181"/>
    <w:rsid w:val="00606A2B"/>
    <w:rsid w:val="00607548"/>
    <w:rsid w:val="00607FA8"/>
    <w:rsid w:val="0061081F"/>
    <w:rsid w:val="00610DF4"/>
    <w:rsid w:val="0061116D"/>
    <w:rsid w:val="00612974"/>
    <w:rsid w:val="00614DD5"/>
    <w:rsid w:val="00614E62"/>
    <w:rsid w:val="00616BD7"/>
    <w:rsid w:val="006213C6"/>
    <w:rsid w:val="00622F66"/>
    <w:rsid w:val="0062325D"/>
    <w:rsid w:val="00623549"/>
    <w:rsid w:val="00625B7B"/>
    <w:rsid w:val="00626709"/>
    <w:rsid w:val="00627DA7"/>
    <w:rsid w:val="00630B05"/>
    <w:rsid w:val="00634C75"/>
    <w:rsid w:val="00637537"/>
    <w:rsid w:val="00637EB7"/>
    <w:rsid w:val="00640A41"/>
    <w:rsid w:val="00644272"/>
    <w:rsid w:val="00644BB7"/>
    <w:rsid w:val="00645BB3"/>
    <w:rsid w:val="006476CF"/>
    <w:rsid w:val="00651491"/>
    <w:rsid w:val="006542D3"/>
    <w:rsid w:val="006575D8"/>
    <w:rsid w:val="00665282"/>
    <w:rsid w:val="00665349"/>
    <w:rsid w:val="00670540"/>
    <w:rsid w:val="00672815"/>
    <w:rsid w:val="006736A3"/>
    <w:rsid w:val="00677905"/>
    <w:rsid w:val="0068238C"/>
    <w:rsid w:val="00682B65"/>
    <w:rsid w:val="006831FB"/>
    <w:rsid w:val="0068426B"/>
    <w:rsid w:val="00694317"/>
    <w:rsid w:val="00697ABC"/>
    <w:rsid w:val="006A058B"/>
    <w:rsid w:val="006A075B"/>
    <w:rsid w:val="006A6211"/>
    <w:rsid w:val="006B10B4"/>
    <w:rsid w:val="006B1EFF"/>
    <w:rsid w:val="006B2110"/>
    <w:rsid w:val="006B2BA8"/>
    <w:rsid w:val="006B3694"/>
    <w:rsid w:val="006C1036"/>
    <w:rsid w:val="006C10CF"/>
    <w:rsid w:val="006C1249"/>
    <w:rsid w:val="006C3B5C"/>
    <w:rsid w:val="006C6527"/>
    <w:rsid w:val="006D1BBB"/>
    <w:rsid w:val="006D2D01"/>
    <w:rsid w:val="006D3796"/>
    <w:rsid w:val="006D55EF"/>
    <w:rsid w:val="006D65CA"/>
    <w:rsid w:val="006D6CA7"/>
    <w:rsid w:val="006D74BD"/>
    <w:rsid w:val="006E0AA7"/>
    <w:rsid w:val="006E1944"/>
    <w:rsid w:val="006E3467"/>
    <w:rsid w:val="006E4859"/>
    <w:rsid w:val="006E6219"/>
    <w:rsid w:val="006F20DC"/>
    <w:rsid w:val="006F4C88"/>
    <w:rsid w:val="006F6901"/>
    <w:rsid w:val="007005EA"/>
    <w:rsid w:val="00701F64"/>
    <w:rsid w:val="00703F7C"/>
    <w:rsid w:val="00707473"/>
    <w:rsid w:val="00713368"/>
    <w:rsid w:val="00716173"/>
    <w:rsid w:val="0072120B"/>
    <w:rsid w:val="007241F7"/>
    <w:rsid w:val="00725DE8"/>
    <w:rsid w:val="00730EF7"/>
    <w:rsid w:val="007322A6"/>
    <w:rsid w:val="007356C2"/>
    <w:rsid w:val="00736521"/>
    <w:rsid w:val="00736A1B"/>
    <w:rsid w:val="00736D0D"/>
    <w:rsid w:val="007373BE"/>
    <w:rsid w:val="00737F54"/>
    <w:rsid w:val="007405B4"/>
    <w:rsid w:val="00740C63"/>
    <w:rsid w:val="00740D5B"/>
    <w:rsid w:val="00741749"/>
    <w:rsid w:val="00741D16"/>
    <w:rsid w:val="0074251A"/>
    <w:rsid w:val="00742585"/>
    <w:rsid w:val="007430E6"/>
    <w:rsid w:val="00744887"/>
    <w:rsid w:val="00750065"/>
    <w:rsid w:val="00750597"/>
    <w:rsid w:val="007526AC"/>
    <w:rsid w:val="00755119"/>
    <w:rsid w:val="00762C80"/>
    <w:rsid w:val="007634B8"/>
    <w:rsid w:val="0076400C"/>
    <w:rsid w:val="00765FA3"/>
    <w:rsid w:val="00765FE0"/>
    <w:rsid w:val="007670BB"/>
    <w:rsid w:val="007716A1"/>
    <w:rsid w:val="007801A1"/>
    <w:rsid w:val="007805D0"/>
    <w:rsid w:val="007811D0"/>
    <w:rsid w:val="0078198A"/>
    <w:rsid w:val="0078351B"/>
    <w:rsid w:val="00783E10"/>
    <w:rsid w:val="007851D7"/>
    <w:rsid w:val="00786ABC"/>
    <w:rsid w:val="007873B2"/>
    <w:rsid w:val="0079130A"/>
    <w:rsid w:val="00792142"/>
    <w:rsid w:val="0079279D"/>
    <w:rsid w:val="00793BA1"/>
    <w:rsid w:val="00794F86"/>
    <w:rsid w:val="00795B81"/>
    <w:rsid w:val="00796870"/>
    <w:rsid w:val="00797C08"/>
    <w:rsid w:val="00797D9F"/>
    <w:rsid w:val="007A27E4"/>
    <w:rsid w:val="007A5EC6"/>
    <w:rsid w:val="007A5F7A"/>
    <w:rsid w:val="007A6344"/>
    <w:rsid w:val="007A74F5"/>
    <w:rsid w:val="007B04FA"/>
    <w:rsid w:val="007B0E52"/>
    <w:rsid w:val="007B15F4"/>
    <w:rsid w:val="007B190D"/>
    <w:rsid w:val="007B2383"/>
    <w:rsid w:val="007B26D1"/>
    <w:rsid w:val="007B33A9"/>
    <w:rsid w:val="007B45A7"/>
    <w:rsid w:val="007B65C5"/>
    <w:rsid w:val="007B7065"/>
    <w:rsid w:val="007B779A"/>
    <w:rsid w:val="007C0299"/>
    <w:rsid w:val="007C219B"/>
    <w:rsid w:val="007C4293"/>
    <w:rsid w:val="007C47EF"/>
    <w:rsid w:val="007C4A73"/>
    <w:rsid w:val="007D4729"/>
    <w:rsid w:val="007D5C79"/>
    <w:rsid w:val="007D7DF9"/>
    <w:rsid w:val="007E341F"/>
    <w:rsid w:val="007E54E4"/>
    <w:rsid w:val="007E5530"/>
    <w:rsid w:val="007E5910"/>
    <w:rsid w:val="007E6228"/>
    <w:rsid w:val="007F008B"/>
    <w:rsid w:val="007F35D0"/>
    <w:rsid w:val="007F504A"/>
    <w:rsid w:val="007F6EE5"/>
    <w:rsid w:val="007F7671"/>
    <w:rsid w:val="0080118A"/>
    <w:rsid w:val="00803378"/>
    <w:rsid w:val="00805AFD"/>
    <w:rsid w:val="00807048"/>
    <w:rsid w:val="00815938"/>
    <w:rsid w:val="00816285"/>
    <w:rsid w:val="00816BEB"/>
    <w:rsid w:val="008176CE"/>
    <w:rsid w:val="00817D45"/>
    <w:rsid w:val="0082249D"/>
    <w:rsid w:val="008254FE"/>
    <w:rsid w:val="00825B2D"/>
    <w:rsid w:val="008262BF"/>
    <w:rsid w:val="008279DE"/>
    <w:rsid w:val="00827ABB"/>
    <w:rsid w:val="00830023"/>
    <w:rsid w:val="00832A0C"/>
    <w:rsid w:val="00832C8A"/>
    <w:rsid w:val="0083419B"/>
    <w:rsid w:val="00834D4F"/>
    <w:rsid w:val="0083513A"/>
    <w:rsid w:val="00837455"/>
    <w:rsid w:val="0084030C"/>
    <w:rsid w:val="00852829"/>
    <w:rsid w:val="0085480D"/>
    <w:rsid w:val="00854A76"/>
    <w:rsid w:val="00855387"/>
    <w:rsid w:val="0086093C"/>
    <w:rsid w:val="008615C5"/>
    <w:rsid w:val="008646AA"/>
    <w:rsid w:val="008702C3"/>
    <w:rsid w:val="0087037D"/>
    <w:rsid w:val="00870D2D"/>
    <w:rsid w:val="00873B7D"/>
    <w:rsid w:val="0087563E"/>
    <w:rsid w:val="00877CDA"/>
    <w:rsid w:val="00880694"/>
    <w:rsid w:val="00880CA6"/>
    <w:rsid w:val="008815C0"/>
    <w:rsid w:val="008831F9"/>
    <w:rsid w:val="0088471E"/>
    <w:rsid w:val="00886AD9"/>
    <w:rsid w:val="008908A8"/>
    <w:rsid w:val="00890A39"/>
    <w:rsid w:val="00891BA6"/>
    <w:rsid w:val="00892367"/>
    <w:rsid w:val="00894B32"/>
    <w:rsid w:val="00895CA3"/>
    <w:rsid w:val="008974A9"/>
    <w:rsid w:val="00897BA6"/>
    <w:rsid w:val="008A0F4D"/>
    <w:rsid w:val="008A1C04"/>
    <w:rsid w:val="008A3A5A"/>
    <w:rsid w:val="008A3BE8"/>
    <w:rsid w:val="008A491C"/>
    <w:rsid w:val="008A5577"/>
    <w:rsid w:val="008A72AC"/>
    <w:rsid w:val="008B08C3"/>
    <w:rsid w:val="008B31E2"/>
    <w:rsid w:val="008B6ED6"/>
    <w:rsid w:val="008C0E15"/>
    <w:rsid w:val="008C167B"/>
    <w:rsid w:val="008C64E2"/>
    <w:rsid w:val="008D0B45"/>
    <w:rsid w:val="008D371F"/>
    <w:rsid w:val="008D58F6"/>
    <w:rsid w:val="008D71D0"/>
    <w:rsid w:val="008D7B8C"/>
    <w:rsid w:val="008D7CD7"/>
    <w:rsid w:val="008E03E4"/>
    <w:rsid w:val="008E09FF"/>
    <w:rsid w:val="008E12FD"/>
    <w:rsid w:val="008E1500"/>
    <w:rsid w:val="008E3046"/>
    <w:rsid w:val="008E5451"/>
    <w:rsid w:val="008E64A3"/>
    <w:rsid w:val="008E7169"/>
    <w:rsid w:val="008E7E30"/>
    <w:rsid w:val="008F1158"/>
    <w:rsid w:val="008F150B"/>
    <w:rsid w:val="008F1C01"/>
    <w:rsid w:val="008F41B1"/>
    <w:rsid w:val="009016BE"/>
    <w:rsid w:val="009079FB"/>
    <w:rsid w:val="00911165"/>
    <w:rsid w:val="0091235D"/>
    <w:rsid w:val="00922EE1"/>
    <w:rsid w:val="00925F97"/>
    <w:rsid w:val="009268E3"/>
    <w:rsid w:val="0093070C"/>
    <w:rsid w:val="0093075F"/>
    <w:rsid w:val="009319C3"/>
    <w:rsid w:val="00931D3B"/>
    <w:rsid w:val="009328FB"/>
    <w:rsid w:val="009354DF"/>
    <w:rsid w:val="00937EB8"/>
    <w:rsid w:val="00944E8D"/>
    <w:rsid w:val="009467A5"/>
    <w:rsid w:val="009506E2"/>
    <w:rsid w:val="00950B15"/>
    <w:rsid w:val="0095139F"/>
    <w:rsid w:val="00954F73"/>
    <w:rsid w:val="00957DE8"/>
    <w:rsid w:val="00957F6F"/>
    <w:rsid w:val="00960E69"/>
    <w:rsid w:val="009619A0"/>
    <w:rsid w:val="009702F4"/>
    <w:rsid w:val="009827D6"/>
    <w:rsid w:val="009836EF"/>
    <w:rsid w:val="00986257"/>
    <w:rsid w:val="009867B2"/>
    <w:rsid w:val="00986935"/>
    <w:rsid w:val="009904B4"/>
    <w:rsid w:val="0099252D"/>
    <w:rsid w:val="00996827"/>
    <w:rsid w:val="0099713F"/>
    <w:rsid w:val="009A18C3"/>
    <w:rsid w:val="009A2EF9"/>
    <w:rsid w:val="009A6B25"/>
    <w:rsid w:val="009A6BAF"/>
    <w:rsid w:val="009A6C40"/>
    <w:rsid w:val="009B1955"/>
    <w:rsid w:val="009B25DF"/>
    <w:rsid w:val="009B2AD3"/>
    <w:rsid w:val="009B357C"/>
    <w:rsid w:val="009B756E"/>
    <w:rsid w:val="009C1790"/>
    <w:rsid w:val="009C57E7"/>
    <w:rsid w:val="009C6F32"/>
    <w:rsid w:val="009C6F9E"/>
    <w:rsid w:val="009D1430"/>
    <w:rsid w:val="009D1E9F"/>
    <w:rsid w:val="009D3AFD"/>
    <w:rsid w:val="009D72F7"/>
    <w:rsid w:val="009E3703"/>
    <w:rsid w:val="009E5750"/>
    <w:rsid w:val="009E6070"/>
    <w:rsid w:val="009E65EE"/>
    <w:rsid w:val="009E6D0E"/>
    <w:rsid w:val="009F0D22"/>
    <w:rsid w:val="009F26B1"/>
    <w:rsid w:val="009F7B1E"/>
    <w:rsid w:val="00A03E98"/>
    <w:rsid w:val="00A07ED4"/>
    <w:rsid w:val="00A11D1D"/>
    <w:rsid w:val="00A12002"/>
    <w:rsid w:val="00A13B68"/>
    <w:rsid w:val="00A14B96"/>
    <w:rsid w:val="00A14FF3"/>
    <w:rsid w:val="00A16F87"/>
    <w:rsid w:val="00A17AB5"/>
    <w:rsid w:val="00A25EA1"/>
    <w:rsid w:val="00A2706B"/>
    <w:rsid w:val="00A275B7"/>
    <w:rsid w:val="00A27FD7"/>
    <w:rsid w:val="00A33001"/>
    <w:rsid w:val="00A3379F"/>
    <w:rsid w:val="00A34A73"/>
    <w:rsid w:val="00A34B83"/>
    <w:rsid w:val="00A34E9C"/>
    <w:rsid w:val="00A360AC"/>
    <w:rsid w:val="00A3620E"/>
    <w:rsid w:val="00A40699"/>
    <w:rsid w:val="00A426F5"/>
    <w:rsid w:val="00A445EC"/>
    <w:rsid w:val="00A44F5F"/>
    <w:rsid w:val="00A50576"/>
    <w:rsid w:val="00A54A45"/>
    <w:rsid w:val="00A54CD3"/>
    <w:rsid w:val="00A619E7"/>
    <w:rsid w:val="00A63B9E"/>
    <w:rsid w:val="00A645B6"/>
    <w:rsid w:val="00A6604D"/>
    <w:rsid w:val="00A67F1B"/>
    <w:rsid w:val="00A7304F"/>
    <w:rsid w:val="00A73AA5"/>
    <w:rsid w:val="00A75C7E"/>
    <w:rsid w:val="00A76F96"/>
    <w:rsid w:val="00A81596"/>
    <w:rsid w:val="00A8207C"/>
    <w:rsid w:val="00A84C79"/>
    <w:rsid w:val="00A85FA5"/>
    <w:rsid w:val="00A93000"/>
    <w:rsid w:val="00A94C79"/>
    <w:rsid w:val="00A962C4"/>
    <w:rsid w:val="00A9762F"/>
    <w:rsid w:val="00AA2A6B"/>
    <w:rsid w:val="00AA6321"/>
    <w:rsid w:val="00AA6343"/>
    <w:rsid w:val="00AA7271"/>
    <w:rsid w:val="00AA72EB"/>
    <w:rsid w:val="00AC1A3A"/>
    <w:rsid w:val="00AC248C"/>
    <w:rsid w:val="00AC286E"/>
    <w:rsid w:val="00AC3782"/>
    <w:rsid w:val="00AC3C30"/>
    <w:rsid w:val="00AC5AD7"/>
    <w:rsid w:val="00AC5E4E"/>
    <w:rsid w:val="00AC7367"/>
    <w:rsid w:val="00AC78FF"/>
    <w:rsid w:val="00AD0D27"/>
    <w:rsid w:val="00AD112B"/>
    <w:rsid w:val="00AD29C3"/>
    <w:rsid w:val="00AD3A5B"/>
    <w:rsid w:val="00AD542A"/>
    <w:rsid w:val="00AD592E"/>
    <w:rsid w:val="00AD6F38"/>
    <w:rsid w:val="00AD7B32"/>
    <w:rsid w:val="00AE33EB"/>
    <w:rsid w:val="00AE41EA"/>
    <w:rsid w:val="00AE4389"/>
    <w:rsid w:val="00AE76CD"/>
    <w:rsid w:val="00AF0D1C"/>
    <w:rsid w:val="00AF15A1"/>
    <w:rsid w:val="00AF1A24"/>
    <w:rsid w:val="00AF1B5D"/>
    <w:rsid w:val="00AF235D"/>
    <w:rsid w:val="00AF6588"/>
    <w:rsid w:val="00AF69AE"/>
    <w:rsid w:val="00AF7E34"/>
    <w:rsid w:val="00B03021"/>
    <w:rsid w:val="00B054D8"/>
    <w:rsid w:val="00B071C1"/>
    <w:rsid w:val="00B07E69"/>
    <w:rsid w:val="00B10230"/>
    <w:rsid w:val="00B10A6C"/>
    <w:rsid w:val="00B153E8"/>
    <w:rsid w:val="00B16003"/>
    <w:rsid w:val="00B17404"/>
    <w:rsid w:val="00B1756F"/>
    <w:rsid w:val="00B242AE"/>
    <w:rsid w:val="00B26ED3"/>
    <w:rsid w:val="00B26F42"/>
    <w:rsid w:val="00B271AE"/>
    <w:rsid w:val="00B321B7"/>
    <w:rsid w:val="00B32B57"/>
    <w:rsid w:val="00B33081"/>
    <w:rsid w:val="00B33D30"/>
    <w:rsid w:val="00B36EAF"/>
    <w:rsid w:val="00B37046"/>
    <w:rsid w:val="00B37C29"/>
    <w:rsid w:val="00B37FD6"/>
    <w:rsid w:val="00B41909"/>
    <w:rsid w:val="00B441BF"/>
    <w:rsid w:val="00B45282"/>
    <w:rsid w:val="00B4703B"/>
    <w:rsid w:val="00B47E43"/>
    <w:rsid w:val="00B51246"/>
    <w:rsid w:val="00B537A6"/>
    <w:rsid w:val="00B57816"/>
    <w:rsid w:val="00B615C0"/>
    <w:rsid w:val="00B62D37"/>
    <w:rsid w:val="00B63824"/>
    <w:rsid w:val="00B64D8E"/>
    <w:rsid w:val="00B64F2A"/>
    <w:rsid w:val="00B655A3"/>
    <w:rsid w:val="00B73C9A"/>
    <w:rsid w:val="00B759E1"/>
    <w:rsid w:val="00B76860"/>
    <w:rsid w:val="00B76B77"/>
    <w:rsid w:val="00B80AD2"/>
    <w:rsid w:val="00B819B7"/>
    <w:rsid w:val="00B86C94"/>
    <w:rsid w:val="00B8785E"/>
    <w:rsid w:val="00B932F5"/>
    <w:rsid w:val="00B938DA"/>
    <w:rsid w:val="00BA1203"/>
    <w:rsid w:val="00BA12BE"/>
    <w:rsid w:val="00BA152E"/>
    <w:rsid w:val="00BA1D94"/>
    <w:rsid w:val="00BA5912"/>
    <w:rsid w:val="00BB32F8"/>
    <w:rsid w:val="00BB33B5"/>
    <w:rsid w:val="00BB365A"/>
    <w:rsid w:val="00BB3711"/>
    <w:rsid w:val="00BB593A"/>
    <w:rsid w:val="00BB5DAE"/>
    <w:rsid w:val="00BB791F"/>
    <w:rsid w:val="00BC43D8"/>
    <w:rsid w:val="00BC586D"/>
    <w:rsid w:val="00BD1BC1"/>
    <w:rsid w:val="00BD64E0"/>
    <w:rsid w:val="00BE25DA"/>
    <w:rsid w:val="00BE5D90"/>
    <w:rsid w:val="00BF2877"/>
    <w:rsid w:val="00BF3361"/>
    <w:rsid w:val="00BF3566"/>
    <w:rsid w:val="00BF509A"/>
    <w:rsid w:val="00C006E1"/>
    <w:rsid w:val="00C00A39"/>
    <w:rsid w:val="00C0161B"/>
    <w:rsid w:val="00C044F6"/>
    <w:rsid w:val="00C047AB"/>
    <w:rsid w:val="00C05C68"/>
    <w:rsid w:val="00C06751"/>
    <w:rsid w:val="00C076BE"/>
    <w:rsid w:val="00C07CB7"/>
    <w:rsid w:val="00C07DF4"/>
    <w:rsid w:val="00C133BA"/>
    <w:rsid w:val="00C14476"/>
    <w:rsid w:val="00C155C3"/>
    <w:rsid w:val="00C1692B"/>
    <w:rsid w:val="00C1794A"/>
    <w:rsid w:val="00C20439"/>
    <w:rsid w:val="00C220D2"/>
    <w:rsid w:val="00C23922"/>
    <w:rsid w:val="00C23F93"/>
    <w:rsid w:val="00C26212"/>
    <w:rsid w:val="00C265F4"/>
    <w:rsid w:val="00C37209"/>
    <w:rsid w:val="00C41703"/>
    <w:rsid w:val="00C4341E"/>
    <w:rsid w:val="00C44300"/>
    <w:rsid w:val="00C45AC8"/>
    <w:rsid w:val="00C46DB3"/>
    <w:rsid w:val="00C47BB0"/>
    <w:rsid w:val="00C51DCC"/>
    <w:rsid w:val="00C523FB"/>
    <w:rsid w:val="00C567B1"/>
    <w:rsid w:val="00C607B1"/>
    <w:rsid w:val="00C627EE"/>
    <w:rsid w:val="00C63DAF"/>
    <w:rsid w:val="00C650B2"/>
    <w:rsid w:val="00C65912"/>
    <w:rsid w:val="00C65FFF"/>
    <w:rsid w:val="00C72D3E"/>
    <w:rsid w:val="00C7649C"/>
    <w:rsid w:val="00C81843"/>
    <w:rsid w:val="00C84C94"/>
    <w:rsid w:val="00C85A07"/>
    <w:rsid w:val="00C87629"/>
    <w:rsid w:val="00C87A8E"/>
    <w:rsid w:val="00C9131F"/>
    <w:rsid w:val="00C93A28"/>
    <w:rsid w:val="00C94951"/>
    <w:rsid w:val="00CA1079"/>
    <w:rsid w:val="00CA3353"/>
    <w:rsid w:val="00CA3C21"/>
    <w:rsid w:val="00CA7B38"/>
    <w:rsid w:val="00CB39AB"/>
    <w:rsid w:val="00CB3FD6"/>
    <w:rsid w:val="00CB4327"/>
    <w:rsid w:val="00CB4D89"/>
    <w:rsid w:val="00CB6691"/>
    <w:rsid w:val="00CB7005"/>
    <w:rsid w:val="00CB7EEA"/>
    <w:rsid w:val="00CC1B77"/>
    <w:rsid w:val="00CC2046"/>
    <w:rsid w:val="00CC503C"/>
    <w:rsid w:val="00CC7E8E"/>
    <w:rsid w:val="00CD1951"/>
    <w:rsid w:val="00CD262A"/>
    <w:rsid w:val="00CD3D31"/>
    <w:rsid w:val="00CD53EF"/>
    <w:rsid w:val="00CD7E85"/>
    <w:rsid w:val="00CE0E3D"/>
    <w:rsid w:val="00CE695E"/>
    <w:rsid w:val="00CF3973"/>
    <w:rsid w:val="00CF7413"/>
    <w:rsid w:val="00CF7909"/>
    <w:rsid w:val="00D017F1"/>
    <w:rsid w:val="00D01E89"/>
    <w:rsid w:val="00D052F9"/>
    <w:rsid w:val="00D061AB"/>
    <w:rsid w:val="00D132B5"/>
    <w:rsid w:val="00D13AFE"/>
    <w:rsid w:val="00D13F3F"/>
    <w:rsid w:val="00D167E1"/>
    <w:rsid w:val="00D17DAF"/>
    <w:rsid w:val="00D22828"/>
    <w:rsid w:val="00D2326B"/>
    <w:rsid w:val="00D24BCC"/>
    <w:rsid w:val="00D32222"/>
    <w:rsid w:val="00D322B4"/>
    <w:rsid w:val="00D32F94"/>
    <w:rsid w:val="00D33593"/>
    <w:rsid w:val="00D33766"/>
    <w:rsid w:val="00D33AC5"/>
    <w:rsid w:val="00D37466"/>
    <w:rsid w:val="00D4247C"/>
    <w:rsid w:val="00D44046"/>
    <w:rsid w:val="00D45570"/>
    <w:rsid w:val="00D56631"/>
    <w:rsid w:val="00D56FA1"/>
    <w:rsid w:val="00D63BD7"/>
    <w:rsid w:val="00D64261"/>
    <w:rsid w:val="00D66206"/>
    <w:rsid w:val="00D76F76"/>
    <w:rsid w:val="00D80577"/>
    <w:rsid w:val="00D81C4F"/>
    <w:rsid w:val="00D825F3"/>
    <w:rsid w:val="00D83A8D"/>
    <w:rsid w:val="00D83B8F"/>
    <w:rsid w:val="00D83D87"/>
    <w:rsid w:val="00D84565"/>
    <w:rsid w:val="00D91771"/>
    <w:rsid w:val="00D93468"/>
    <w:rsid w:val="00D936BC"/>
    <w:rsid w:val="00D946DD"/>
    <w:rsid w:val="00DA0BF7"/>
    <w:rsid w:val="00DA256F"/>
    <w:rsid w:val="00DA2879"/>
    <w:rsid w:val="00DA391C"/>
    <w:rsid w:val="00DA3D33"/>
    <w:rsid w:val="00DA4A46"/>
    <w:rsid w:val="00DA5121"/>
    <w:rsid w:val="00DB684C"/>
    <w:rsid w:val="00DC08EC"/>
    <w:rsid w:val="00DC0B21"/>
    <w:rsid w:val="00DC2594"/>
    <w:rsid w:val="00DC316D"/>
    <w:rsid w:val="00DC3B58"/>
    <w:rsid w:val="00DC4921"/>
    <w:rsid w:val="00DD0AA7"/>
    <w:rsid w:val="00DD0AFE"/>
    <w:rsid w:val="00DD2DE2"/>
    <w:rsid w:val="00DD3F74"/>
    <w:rsid w:val="00DD4077"/>
    <w:rsid w:val="00DE245F"/>
    <w:rsid w:val="00DE72C4"/>
    <w:rsid w:val="00DF462E"/>
    <w:rsid w:val="00DF4F8B"/>
    <w:rsid w:val="00DF5B95"/>
    <w:rsid w:val="00DF6E1F"/>
    <w:rsid w:val="00E01978"/>
    <w:rsid w:val="00E02AB0"/>
    <w:rsid w:val="00E06E51"/>
    <w:rsid w:val="00E07311"/>
    <w:rsid w:val="00E141BA"/>
    <w:rsid w:val="00E164B3"/>
    <w:rsid w:val="00E16883"/>
    <w:rsid w:val="00E2086B"/>
    <w:rsid w:val="00E2088B"/>
    <w:rsid w:val="00E21B16"/>
    <w:rsid w:val="00E22A30"/>
    <w:rsid w:val="00E2692F"/>
    <w:rsid w:val="00E30E85"/>
    <w:rsid w:val="00E3217E"/>
    <w:rsid w:val="00E32B92"/>
    <w:rsid w:val="00E3309B"/>
    <w:rsid w:val="00E35091"/>
    <w:rsid w:val="00E35ABB"/>
    <w:rsid w:val="00E3616C"/>
    <w:rsid w:val="00E37194"/>
    <w:rsid w:val="00E42F83"/>
    <w:rsid w:val="00E44049"/>
    <w:rsid w:val="00E4541E"/>
    <w:rsid w:val="00E4576E"/>
    <w:rsid w:val="00E5175F"/>
    <w:rsid w:val="00E51D39"/>
    <w:rsid w:val="00E51DD2"/>
    <w:rsid w:val="00E52D62"/>
    <w:rsid w:val="00E5438E"/>
    <w:rsid w:val="00E54BC0"/>
    <w:rsid w:val="00E5697C"/>
    <w:rsid w:val="00E57D7F"/>
    <w:rsid w:val="00E66656"/>
    <w:rsid w:val="00E70B64"/>
    <w:rsid w:val="00E86004"/>
    <w:rsid w:val="00E929AC"/>
    <w:rsid w:val="00E93B9D"/>
    <w:rsid w:val="00E9482F"/>
    <w:rsid w:val="00E95BDD"/>
    <w:rsid w:val="00E96E30"/>
    <w:rsid w:val="00EA256B"/>
    <w:rsid w:val="00EA25B2"/>
    <w:rsid w:val="00EA31EB"/>
    <w:rsid w:val="00EA476F"/>
    <w:rsid w:val="00EA527F"/>
    <w:rsid w:val="00EA5A4D"/>
    <w:rsid w:val="00EA5F56"/>
    <w:rsid w:val="00EB411F"/>
    <w:rsid w:val="00EB6B5E"/>
    <w:rsid w:val="00EC073C"/>
    <w:rsid w:val="00EC1819"/>
    <w:rsid w:val="00EC5DA4"/>
    <w:rsid w:val="00EC73A3"/>
    <w:rsid w:val="00ED3574"/>
    <w:rsid w:val="00EE6C20"/>
    <w:rsid w:val="00EE70A3"/>
    <w:rsid w:val="00EF01C2"/>
    <w:rsid w:val="00EF2F1E"/>
    <w:rsid w:val="00EF4EC7"/>
    <w:rsid w:val="00EF5021"/>
    <w:rsid w:val="00EF520C"/>
    <w:rsid w:val="00EF62FB"/>
    <w:rsid w:val="00EF6669"/>
    <w:rsid w:val="00EF6BE1"/>
    <w:rsid w:val="00EF70F1"/>
    <w:rsid w:val="00F00BD2"/>
    <w:rsid w:val="00F00C18"/>
    <w:rsid w:val="00F05621"/>
    <w:rsid w:val="00F057F3"/>
    <w:rsid w:val="00F06D77"/>
    <w:rsid w:val="00F07669"/>
    <w:rsid w:val="00F101A0"/>
    <w:rsid w:val="00F11344"/>
    <w:rsid w:val="00F11BE0"/>
    <w:rsid w:val="00F11DFC"/>
    <w:rsid w:val="00F13D8A"/>
    <w:rsid w:val="00F15804"/>
    <w:rsid w:val="00F227E7"/>
    <w:rsid w:val="00F24EA5"/>
    <w:rsid w:val="00F25E86"/>
    <w:rsid w:val="00F306FF"/>
    <w:rsid w:val="00F30803"/>
    <w:rsid w:val="00F3215F"/>
    <w:rsid w:val="00F339E0"/>
    <w:rsid w:val="00F35226"/>
    <w:rsid w:val="00F35280"/>
    <w:rsid w:val="00F37133"/>
    <w:rsid w:val="00F40D80"/>
    <w:rsid w:val="00F43DAB"/>
    <w:rsid w:val="00F53854"/>
    <w:rsid w:val="00F53FE3"/>
    <w:rsid w:val="00F55591"/>
    <w:rsid w:val="00F55EE2"/>
    <w:rsid w:val="00F5603F"/>
    <w:rsid w:val="00F561D3"/>
    <w:rsid w:val="00F56EDC"/>
    <w:rsid w:val="00F62A89"/>
    <w:rsid w:val="00F6338E"/>
    <w:rsid w:val="00F64F15"/>
    <w:rsid w:val="00F653EB"/>
    <w:rsid w:val="00F65491"/>
    <w:rsid w:val="00F7168E"/>
    <w:rsid w:val="00F71A9D"/>
    <w:rsid w:val="00F72ADC"/>
    <w:rsid w:val="00F735BA"/>
    <w:rsid w:val="00F75B1E"/>
    <w:rsid w:val="00F818BB"/>
    <w:rsid w:val="00F82BDA"/>
    <w:rsid w:val="00F82DBC"/>
    <w:rsid w:val="00F86939"/>
    <w:rsid w:val="00F8695E"/>
    <w:rsid w:val="00F908F4"/>
    <w:rsid w:val="00F91547"/>
    <w:rsid w:val="00F91C4F"/>
    <w:rsid w:val="00F95DD0"/>
    <w:rsid w:val="00F96841"/>
    <w:rsid w:val="00FA1E7C"/>
    <w:rsid w:val="00FA2217"/>
    <w:rsid w:val="00FA31C6"/>
    <w:rsid w:val="00FA3E4C"/>
    <w:rsid w:val="00FA48E1"/>
    <w:rsid w:val="00FA59B4"/>
    <w:rsid w:val="00FA68DF"/>
    <w:rsid w:val="00FA6A8B"/>
    <w:rsid w:val="00FA7A97"/>
    <w:rsid w:val="00FB173A"/>
    <w:rsid w:val="00FB1D92"/>
    <w:rsid w:val="00FB2B21"/>
    <w:rsid w:val="00FB3355"/>
    <w:rsid w:val="00FB3793"/>
    <w:rsid w:val="00FB3D13"/>
    <w:rsid w:val="00FB6748"/>
    <w:rsid w:val="00FB7120"/>
    <w:rsid w:val="00FC000A"/>
    <w:rsid w:val="00FC0123"/>
    <w:rsid w:val="00FC2797"/>
    <w:rsid w:val="00FC5E56"/>
    <w:rsid w:val="00FD0EF8"/>
    <w:rsid w:val="00FD1035"/>
    <w:rsid w:val="00FD2088"/>
    <w:rsid w:val="00FD2B35"/>
    <w:rsid w:val="00FD376F"/>
    <w:rsid w:val="00FD5032"/>
    <w:rsid w:val="00FD5206"/>
    <w:rsid w:val="00FD7624"/>
    <w:rsid w:val="00FE29F4"/>
    <w:rsid w:val="00FE353B"/>
    <w:rsid w:val="00FE3640"/>
    <w:rsid w:val="00FE3C41"/>
    <w:rsid w:val="00FE5589"/>
    <w:rsid w:val="00FE6058"/>
    <w:rsid w:val="00FE6CB7"/>
    <w:rsid w:val="00FE791A"/>
    <w:rsid w:val="00FF0979"/>
    <w:rsid w:val="00FF2C18"/>
    <w:rsid w:val="00FF318E"/>
    <w:rsid w:val="00FF38B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4DFA5A"/>
  <w14:defaultImageDpi w14:val="0"/>
  <w15:docId w15:val="{002A3843-5F04-4230-B86B-6999F731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7B0E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E52"/>
    <w:rPr>
      <w:rFonts w:ascii="Times New Roman" w:hAnsi="Times New Roman" w:cs="Times New Roman"/>
      <w:b/>
      <w:bCs/>
      <w:kern w:val="36"/>
      <w:sz w:val="48"/>
      <w:szCs w:val="48"/>
      <w:lang w:val="x-none" w:eastAsia="en-ZA"/>
    </w:rPr>
  </w:style>
  <w:style w:type="character" w:customStyle="1" w:styleId="zm-tooltip">
    <w:name w:val="zm-tooltip"/>
    <w:basedOn w:val="DefaultParagraphFont"/>
    <w:rsid w:val="007B0E52"/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3344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4483"/>
    <w:rPr>
      <w:rFonts w:ascii="Consolas" w:hAnsi="Consolas" w:cs="Times New Roman"/>
      <w:sz w:val="21"/>
      <w:szCs w:val="21"/>
      <w:lang w:val="en-GB" w:eastAsia="x-none"/>
    </w:rPr>
  </w:style>
  <w:style w:type="table" w:styleId="TableGrid">
    <w:name w:val="Table Grid"/>
    <w:basedOn w:val="TableNormal"/>
    <w:uiPriority w:val="39"/>
    <w:rsid w:val="00575A9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C4"/>
    <w:rPr>
      <w:rFonts w:cs="Times New Roman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200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C4"/>
    <w:rPr>
      <w:rFonts w:cs="Times New Roman"/>
      <w:lang w:val="en-GB" w:eastAsia="x-none"/>
    </w:rPr>
  </w:style>
  <w:style w:type="paragraph" w:styleId="ListParagraph">
    <w:name w:val="List Paragraph"/>
    <w:basedOn w:val="Normal"/>
    <w:uiPriority w:val="34"/>
    <w:rsid w:val="003958EF"/>
    <w:pPr>
      <w:suppressAutoHyphens/>
      <w:autoSpaceDN w:val="0"/>
      <w:spacing w:line="249" w:lineRule="auto"/>
      <w:ind w:left="720"/>
      <w:textAlignment w:val="baseline"/>
    </w:pPr>
    <w:rPr>
      <w:rFonts w:ascii="Calibri" w:hAnsi="Calibri"/>
      <w:kern w:val="3"/>
    </w:rPr>
  </w:style>
  <w:style w:type="paragraph" w:styleId="Revision">
    <w:name w:val="Revision"/>
    <w:hidden/>
    <w:uiPriority w:val="99"/>
    <w:semiHidden/>
    <w:rsid w:val="00880CA6"/>
    <w:pPr>
      <w:spacing w:after="0" w:line="240" w:lineRule="auto"/>
    </w:pPr>
    <w:rPr>
      <w:rFonts w:cs="Times New Roman"/>
      <w:lang w:val="en-GB"/>
    </w:rPr>
  </w:style>
  <w:style w:type="character" w:customStyle="1" w:styleId="fontstyle01">
    <w:name w:val="fontstyle01"/>
    <w:basedOn w:val="DefaultParagraphFont"/>
    <w:rsid w:val="00B441BF"/>
    <w:rPr>
      <w:rFonts w:ascii="Gotham-Book" w:hAnsi="Gotham-Book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F892-A628-4B17-8AEB-1C781403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Mendiate</dc:creator>
  <cp:keywords>, docId:6FC572611B4B0278DD1DEE7A2FEEE36F</cp:keywords>
  <dc:description/>
  <cp:lastModifiedBy>Fernando Paiva</cp:lastModifiedBy>
  <cp:revision>2</cp:revision>
  <cp:lastPrinted>2023-06-22T14:30:00Z</cp:lastPrinted>
  <dcterms:created xsi:type="dcterms:W3CDTF">2023-06-27T09:04:00Z</dcterms:created>
  <dcterms:modified xsi:type="dcterms:W3CDTF">2023-06-27T09:04:00Z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2023-06-16T10:36:24Z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7ac5d625-a343-4b37-8efb-c2db48a93afd</vt:lpwstr>
  </property>
  <property fmtid="{D5CDD505-2E9C-101B-9397-08002B2CF9AE}" pid="8" name="MSIP_Label_70d91555-27bb-46d2-9299-bbdc28766cf5_ContentBits">
    <vt:lpwstr>0</vt:lpwstr>
  </property>
</Properties>
</file>